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高平市医疗保障局权责清单</w:t>
      </w:r>
    </w:p>
    <w:tbl>
      <w:tblPr>
        <w:tblStyle w:val="5"/>
        <w:tblW w:w="143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113"/>
        <w:gridCol w:w="1058"/>
        <w:gridCol w:w="1112"/>
        <w:gridCol w:w="1015"/>
        <w:gridCol w:w="2040"/>
        <w:gridCol w:w="2565"/>
        <w:gridCol w:w="355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03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56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55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56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55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3" w:hRule="atLeast"/>
        </w:trPr>
        <w:tc>
          <w:tcPr>
            <w:tcW w:w="1038" w:type="dxa"/>
            <w:vAlign w:val="top"/>
          </w:tcPr>
          <w:p>
            <w:pPr>
              <w:pStyle w:val="7"/>
              <w:jc w:val="center"/>
              <w:rPr>
                <w:rFonts w:ascii="黑体"/>
                <w:b w:val="0"/>
                <w:bCs w:val="0"/>
                <w:color w:val="auto"/>
                <w:sz w:val="21"/>
                <w:szCs w:val="21"/>
              </w:rPr>
            </w:pPr>
          </w:p>
          <w:p>
            <w:pPr>
              <w:pStyle w:val="7"/>
              <w:jc w:val="center"/>
              <w:rPr>
                <w:rFonts w:ascii="黑体"/>
                <w:b w:val="0"/>
                <w:bCs w:val="0"/>
                <w:color w:val="auto"/>
                <w:sz w:val="21"/>
                <w:szCs w:val="21"/>
              </w:rPr>
            </w:pPr>
          </w:p>
          <w:p>
            <w:pPr>
              <w:pStyle w:val="7"/>
              <w:spacing w:line="237" w:lineRule="auto"/>
              <w:ind w:left="30" w:leftChars="0" w:right="147" w:rightChars="0"/>
              <w:jc w:val="center"/>
              <w:rPr>
                <w:b w:val="0"/>
                <w:bCs w:val="0"/>
                <w:color w:val="auto"/>
                <w:sz w:val="21"/>
                <w:szCs w:val="21"/>
              </w:rPr>
            </w:pPr>
          </w:p>
          <w:p>
            <w:pPr>
              <w:pStyle w:val="7"/>
              <w:spacing w:line="237" w:lineRule="auto"/>
              <w:ind w:left="30" w:leftChars="0" w:right="147" w:rightChars="0"/>
              <w:jc w:val="center"/>
              <w:rPr>
                <w:b w:val="0"/>
                <w:bCs w:val="0"/>
                <w:color w:val="auto"/>
                <w:sz w:val="21"/>
                <w:szCs w:val="21"/>
              </w:rPr>
            </w:pPr>
          </w:p>
          <w:p>
            <w:pPr>
              <w:pStyle w:val="7"/>
              <w:spacing w:line="237" w:lineRule="auto"/>
              <w:ind w:left="30" w:leftChars="0" w:right="147" w:rightChars="0"/>
              <w:jc w:val="center"/>
              <w:rPr>
                <w:b w:val="0"/>
                <w:bCs w:val="0"/>
                <w:color w:val="auto"/>
                <w:sz w:val="21"/>
                <w:szCs w:val="21"/>
              </w:rPr>
            </w:pPr>
          </w:p>
          <w:p>
            <w:pPr>
              <w:pStyle w:val="7"/>
              <w:spacing w:line="237" w:lineRule="auto"/>
              <w:ind w:left="30" w:leftChars="0" w:right="147" w:rightChars="0"/>
              <w:jc w:val="center"/>
              <w:rPr>
                <w:rFonts w:hint="eastAsia" w:ascii="仿宋_GB2312"/>
                <w:b w:val="0"/>
                <w:bCs w:val="0"/>
                <w:color w:val="auto"/>
                <w:sz w:val="21"/>
                <w:szCs w:val="21"/>
                <w:lang w:val="en-US" w:eastAsia="zh-CN"/>
              </w:rPr>
            </w:pPr>
          </w:p>
          <w:p>
            <w:pPr>
              <w:pStyle w:val="7"/>
              <w:spacing w:line="237" w:lineRule="auto"/>
              <w:ind w:left="30" w:leftChars="0" w:right="147" w:rightChars="0"/>
              <w:jc w:val="center"/>
              <w:rPr>
                <w:rFonts w:hint="default" w:ascii="仿宋" w:hAnsi="仿宋" w:eastAsia="仿宋" w:cs="仿宋"/>
                <w:b w:val="0"/>
                <w:bCs w:val="0"/>
                <w:color w:val="auto"/>
                <w:sz w:val="21"/>
                <w:szCs w:val="21"/>
                <w:vertAlign w:val="baseline"/>
                <w:lang w:val="en-US" w:eastAsia="zh-CN"/>
              </w:rPr>
            </w:pPr>
            <w:r>
              <w:rPr>
                <w:rFonts w:hint="eastAsia" w:ascii="仿宋_GB2312"/>
                <w:b w:val="0"/>
                <w:bCs w:val="0"/>
                <w:color w:val="auto"/>
                <w:sz w:val="21"/>
                <w:szCs w:val="21"/>
                <w:lang w:val="en-US" w:eastAsia="zh-CN"/>
              </w:rPr>
              <w:t>4</w:t>
            </w:r>
            <w:r>
              <w:rPr>
                <w:rFonts w:ascii="仿宋_GB2312"/>
                <w:b w:val="0"/>
                <w:bCs w:val="0"/>
                <w:color w:val="auto"/>
                <w:sz w:val="21"/>
                <w:szCs w:val="21"/>
              </w:rPr>
              <w:t>9-</w:t>
            </w:r>
            <w:r>
              <w:rPr>
                <w:rFonts w:hint="eastAsia" w:ascii="仿宋_GB2312"/>
                <w:b w:val="0"/>
                <w:bCs w:val="0"/>
                <w:color w:val="auto"/>
                <w:sz w:val="21"/>
                <w:szCs w:val="21"/>
                <w:lang w:val="en-US" w:eastAsia="zh-CN"/>
              </w:rPr>
              <w:t>B</w:t>
            </w:r>
            <w:r>
              <w:rPr>
                <w:rFonts w:ascii="仿宋_GB2312"/>
                <w:b w:val="0"/>
                <w:bCs w:val="0"/>
                <w:color w:val="auto"/>
                <w:sz w:val="21"/>
                <w:szCs w:val="21"/>
              </w:rPr>
              <w:t>-0</w:t>
            </w:r>
            <w:r>
              <w:rPr>
                <w:rFonts w:hint="eastAsia" w:ascii="仿宋_GB2312"/>
                <w:b w:val="0"/>
                <w:bCs w:val="0"/>
                <w:color w:val="auto"/>
                <w:sz w:val="21"/>
                <w:szCs w:val="21"/>
                <w:lang w:val="en-US" w:eastAsia="zh-CN"/>
              </w:rPr>
              <w:t>01</w:t>
            </w:r>
            <w:r>
              <w:rPr>
                <w:rFonts w:ascii="仿宋_GB2312"/>
                <w:b w:val="0"/>
                <w:bCs w:val="0"/>
                <w:color w:val="auto"/>
                <w:sz w:val="21"/>
                <w:szCs w:val="21"/>
              </w:rPr>
              <w:t>00-1405</w:t>
            </w:r>
            <w:r>
              <w:rPr>
                <w:rFonts w:hint="eastAsia" w:ascii="仿宋_GB2312"/>
                <w:b w:val="0"/>
                <w:bCs w:val="0"/>
                <w:color w:val="auto"/>
                <w:sz w:val="21"/>
                <w:szCs w:val="21"/>
                <w:lang w:val="en-US" w:eastAsia="zh-CN"/>
              </w:rPr>
              <w:t>81</w:t>
            </w:r>
          </w:p>
        </w:tc>
        <w:tc>
          <w:tcPr>
            <w:tcW w:w="1113" w:type="dxa"/>
            <w:vAlign w:val="top"/>
          </w:tcPr>
          <w:p>
            <w:pPr>
              <w:pStyle w:val="7"/>
              <w:jc w:val="center"/>
              <w:rPr>
                <w:rFonts w:ascii="黑体"/>
                <w:b w:val="0"/>
                <w:bCs w:val="0"/>
                <w:color w:val="auto"/>
                <w:sz w:val="21"/>
                <w:szCs w:val="21"/>
              </w:rPr>
            </w:pPr>
          </w:p>
          <w:p>
            <w:pPr>
              <w:pStyle w:val="7"/>
              <w:jc w:val="center"/>
              <w:rPr>
                <w:rFonts w:ascii="黑体"/>
                <w:b w:val="0"/>
                <w:bCs w:val="0"/>
                <w:color w:val="auto"/>
                <w:sz w:val="21"/>
                <w:szCs w:val="21"/>
              </w:rPr>
            </w:pPr>
          </w:p>
          <w:p>
            <w:pPr>
              <w:pStyle w:val="7"/>
              <w:jc w:val="center"/>
              <w:rPr>
                <w:rFonts w:ascii="黑体"/>
                <w:b w:val="0"/>
                <w:bCs w:val="0"/>
                <w:color w:val="auto"/>
                <w:sz w:val="21"/>
                <w:szCs w:val="21"/>
              </w:rPr>
            </w:pPr>
          </w:p>
          <w:p>
            <w:pPr>
              <w:pStyle w:val="7"/>
              <w:spacing w:before="6"/>
              <w:jc w:val="center"/>
              <w:rPr>
                <w:rFonts w:hint="eastAsia" w:ascii="仿宋_GB2312" w:eastAsia="仿宋_GB2312"/>
                <w:b w:val="0"/>
                <w:bCs w:val="0"/>
                <w:color w:val="auto"/>
                <w:sz w:val="21"/>
                <w:szCs w:val="21"/>
              </w:rPr>
            </w:pPr>
          </w:p>
          <w:p>
            <w:pPr>
              <w:pStyle w:val="7"/>
              <w:spacing w:before="6"/>
              <w:jc w:val="center"/>
              <w:rPr>
                <w:rFonts w:hint="eastAsia" w:ascii="仿宋_GB2312" w:eastAsia="仿宋_GB2312"/>
                <w:b w:val="0"/>
                <w:bCs w:val="0"/>
                <w:color w:val="auto"/>
                <w:sz w:val="21"/>
                <w:szCs w:val="21"/>
              </w:rPr>
            </w:pPr>
          </w:p>
          <w:p>
            <w:pPr>
              <w:pStyle w:val="7"/>
              <w:spacing w:before="6"/>
              <w:jc w:val="center"/>
              <w:rPr>
                <w:rFonts w:ascii="黑体"/>
                <w:b w:val="0"/>
                <w:bCs w:val="0"/>
                <w:color w:val="auto"/>
                <w:sz w:val="21"/>
                <w:szCs w:val="21"/>
              </w:rPr>
            </w:pPr>
            <w:r>
              <w:rPr>
                <w:rFonts w:hint="eastAsia" w:ascii="仿宋_GB2312" w:eastAsia="仿宋_GB2312"/>
                <w:b w:val="0"/>
                <w:bCs w:val="0"/>
                <w:color w:val="auto"/>
                <w:sz w:val="21"/>
                <w:szCs w:val="21"/>
              </w:rPr>
              <w:t>对骗取医疗保险基金的监督检查和行政处罚</w:t>
            </w:r>
          </w:p>
          <w:p>
            <w:pPr>
              <w:pStyle w:val="7"/>
              <w:spacing w:line="237" w:lineRule="auto"/>
              <w:ind w:left="110" w:leftChars="0" w:right="89" w:rightChars="0"/>
              <w:jc w:val="center"/>
              <w:rPr>
                <w:b w:val="0"/>
                <w:bCs w:val="0"/>
                <w:color w:val="auto"/>
                <w:sz w:val="21"/>
                <w:szCs w:val="21"/>
              </w:rPr>
            </w:pPr>
          </w:p>
          <w:p>
            <w:pPr>
              <w:pStyle w:val="7"/>
              <w:spacing w:line="237" w:lineRule="auto"/>
              <w:ind w:left="110" w:leftChars="0" w:right="89" w:rightChars="0"/>
              <w:jc w:val="center"/>
              <w:rPr>
                <w:b w:val="0"/>
                <w:bCs w:val="0"/>
                <w:color w:val="auto"/>
                <w:sz w:val="21"/>
                <w:szCs w:val="21"/>
              </w:rPr>
            </w:pPr>
          </w:p>
          <w:p>
            <w:pPr>
              <w:pStyle w:val="7"/>
              <w:spacing w:line="237" w:lineRule="auto"/>
              <w:ind w:left="110" w:leftChars="0" w:right="89" w:rightChars="0"/>
              <w:jc w:val="center"/>
              <w:rPr>
                <w:rFonts w:hint="eastAsia" w:ascii="仿宋" w:hAnsi="仿宋" w:eastAsia="仿宋" w:cs="仿宋"/>
                <w:b w:val="0"/>
                <w:bCs w:val="0"/>
                <w:color w:val="auto"/>
                <w:sz w:val="21"/>
                <w:szCs w:val="21"/>
                <w:vertAlign w:val="baseline"/>
                <w:lang w:val="en-US" w:eastAsia="zh-CN"/>
              </w:rPr>
            </w:pPr>
          </w:p>
        </w:tc>
        <w:tc>
          <w:tcPr>
            <w:tcW w:w="1058" w:type="dxa"/>
            <w:vAlign w:val="top"/>
          </w:tcPr>
          <w:p>
            <w:pPr>
              <w:pStyle w:val="7"/>
              <w:jc w:val="center"/>
              <w:rPr>
                <w:rFonts w:ascii="黑体"/>
                <w:b w:val="0"/>
                <w:bCs w:val="0"/>
                <w:color w:val="auto"/>
                <w:sz w:val="21"/>
                <w:szCs w:val="21"/>
              </w:rPr>
            </w:pPr>
          </w:p>
          <w:p>
            <w:pPr>
              <w:pStyle w:val="7"/>
              <w:jc w:val="center"/>
              <w:rPr>
                <w:rFonts w:ascii="黑体"/>
                <w:b w:val="0"/>
                <w:bCs w:val="0"/>
                <w:color w:val="auto"/>
                <w:sz w:val="21"/>
                <w:szCs w:val="21"/>
              </w:rPr>
            </w:pPr>
          </w:p>
          <w:p>
            <w:pPr>
              <w:pStyle w:val="7"/>
              <w:jc w:val="center"/>
              <w:rPr>
                <w:rFonts w:ascii="黑体"/>
                <w:b w:val="0"/>
                <w:bCs w:val="0"/>
                <w:color w:val="auto"/>
                <w:sz w:val="21"/>
                <w:szCs w:val="21"/>
              </w:rPr>
            </w:pPr>
          </w:p>
          <w:p>
            <w:pPr>
              <w:pStyle w:val="7"/>
              <w:jc w:val="center"/>
              <w:rPr>
                <w:rFonts w:ascii="黑体"/>
                <w:b w:val="0"/>
                <w:bCs w:val="0"/>
                <w:color w:val="auto"/>
                <w:sz w:val="21"/>
                <w:szCs w:val="21"/>
              </w:rPr>
            </w:pPr>
          </w:p>
          <w:p>
            <w:pPr>
              <w:pStyle w:val="7"/>
              <w:spacing w:before="1"/>
              <w:jc w:val="center"/>
              <w:rPr>
                <w:rFonts w:ascii="黑体"/>
                <w:b w:val="0"/>
                <w:bCs w:val="0"/>
                <w:color w:val="auto"/>
                <w:sz w:val="21"/>
                <w:szCs w:val="21"/>
              </w:rPr>
            </w:pPr>
          </w:p>
          <w:p>
            <w:pPr>
              <w:pStyle w:val="7"/>
              <w:spacing w:line="205" w:lineRule="exact"/>
              <w:ind w:left="181" w:leftChars="0" w:right="162" w:rightChars="0"/>
              <w:jc w:val="center"/>
              <w:rPr>
                <w:rFonts w:hint="default" w:ascii="仿宋" w:hAnsi="仿宋" w:eastAsia="仿宋" w:cs="仿宋"/>
                <w:b w:val="0"/>
                <w:bCs w:val="0"/>
                <w:color w:val="auto"/>
                <w:sz w:val="21"/>
                <w:szCs w:val="21"/>
                <w:vertAlign w:val="baseline"/>
                <w:lang w:val="en-US" w:eastAsia="zh-CN"/>
              </w:rPr>
            </w:pPr>
          </w:p>
        </w:tc>
        <w:tc>
          <w:tcPr>
            <w:tcW w:w="1112" w:type="dxa"/>
            <w:vAlign w:val="top"/>
          </w:tcPr>
          <w:p>
            <w:pPr>
              <w:pStyle w:val="7"/>
              <w:jc w:val="center"/>
              <w:rPr>
                <w:rFonts w:hint="eastAsia" w:ascii="仿宋_GB2312" w:hAnsi="仿宋_GB2312" w:eastAsia="仿宋_GB2312" w:cs="仿宋_GB2312"/>
                <w:b w:val="0"/>
                <w:bCs w:val="0"/>
                <w:color w:val="auto"/>
                <w:sz w:val="21"/>
                <w:szCs w:val="21"/>
              </w:rPr>
            </w:pPr>
          </w:p>
          <w:p>
            <w:pPr>
              <w:pStyle w:val="7"/>
              <w:jc w:val="center"/>
              <w:rPr>
                <w:rFonts w:hint="eastAsia" w:ascii="仿宋_GB2312" w:hAnsi="仿宋_GB2312" w:eastAsia="仿宋_GB2312" w:cs="仿宋_GB2312"/>
                <w:b w:val="0"/>
                <w:bCs w:val="0"/>
                <w:color w:val="auto"/>
                <w:sz w:val="21"/>
                <w:szCs w:val="21"/>
              </w:rPr>
            </w:pPr>
          </w:p>
          <w:p>
            <w:pPr>
              <w:pStyle w:val="7"/>
              <w:jc w:val="center"/>
              <w:rPr>
                <w:rFonts w:hint="eastAsia" w:ascii="仿宋_GB2312" w:hAnsi="仿宋_GB2312" w:eastAsia="仿宋_GB2312" w:cs="仿宋_GB2312"/>
                <w:b w:val="0"/>
                <w:bCs w:val="0"/>
                <w:color w:val="auto"/>
                <w:sz w:val="21"/>
                <w:szCs w:val="21"/>
              </w:rPr>
            </w:pPr>
          </w:p>
          <w:p>
            <w:pPr>
              <w:pStyle w:val="7"/>
              <w:spacing w:line="237" w:lineRule="auto"/>
              <w:ind w:left="110" w:leftChars="0" w:right="89" w:rightChars="0"/>
              <w:jc w:val="center"/>
              <w:rPr>
                <w:rFonts w:hint="eastAsia" w:ascii="仿宋_GB2312" w:hAnsi="仿宋_GB2312" w:eastAsia="仿宋_GB2312" w:cs="仿宋_GB2312"/>
                <w:b w:val="0"/>
                <w:bCs w:val="0"/>
                <w:color w:val="auto"/>
                <w:sz w:val="21"/>
                <w:szCs w:val="21"/>
                <w:lang w:eastAsia="zh-CN"/>
              </w:rPr>
            </w:pPr>
          </w:p>
          <w:p>
            <w:pPr>
              <w:pStyle w:val="7"/>
              <w:spacing w:line="237" w:lineRule="auto"/>
              <w:ind w:left="110" w:leftChars="0" w:right="89" w:rightChars="0"/>
              <w:jc w:val="center"/>
              <w:rPr>
                <w:rFonts w:hint="eastAsia" w:ascii="仿宋_GB2312" w:hAnsi="仿宋_GB2312" w:eastAsia="仿宋_GB2312" w:cs="仿宋_GB2312"/>
                <w:b w:val="0"/>
                <w:bCs w:val="0"/>
                <w:color w:val="auto"/>
                <w:sz w:val="21"/>
                <w:szCs w:val="21"/>
                <w:lang w:eastAsia="zh-CN"/>
              </w:rPr>
            </w:pPr>
          </w:p>
          <w:p>
            <w:pPr>
              <w:pStyle w:val="7"/>
              <w:spacing w:line="237" w:lineRule="auto"/>
              <w:ind w:left="110" w:leftChars="0" w:right="89" w:rightChars="0"/>
              <w:jc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lang w:eastAsia="zh-CN"/>
              </w:rPr>
              <w:t>高平</w:t>
            </w:r>
            <w:r>
              <w:rPr>
                <w:rFonts w:hint="eastAsia" w:ascii="仿宋_GB2312" w:hAnsi="仿宋_GB2312" w:eastAsia="仿宋_GB2312" w:cs="仿宋_GB2312"/>
                <w:b w:val="0"/>
                <w:bCs w:val="0"/>
                <w:color w:val="auto"/>
                <w:sz w:val="21"/>
                <w:szCs w:val="21"/>
              </w:rPr>
              <w:t>市医疗保障局</w:t>
            </w:r>
          </w:p>
        </w:tc>
        <w:tc>
          <w:tcPr>
            <w:tcW w:w="1015" w:type="dxa"/>
            <w:vAlign w:val="top"/>
          </w:tcPr>
          <w:p>
            <w:pPr>
              <w:pStyle w:val="7"/>
              <w:jc w:val="center"/>
              <w:rPr>
                <w:rFonts w:hint="eastAsia" w:ascii="仿宋_GB2312" w:hAnsi="仿宋_GB2312" w:eastAsia="仿宋_GB2312" w:cs="仿宋_GB2312"/>
                <w:b w:val="0"/>
                <w:bCs w:val="0"/>
                <w:color w:val="auto"/>
                <w:sz w:val="21"/>
                <w:szCs w:val="21"/>
              </w:rPr>
            </w:pPr>
          </w:p>
          <w:p>
            <w:pPr>
              <w:pStyle w:val="7"/>
              <w:jc w:val="center"/>
              <w:rPr>
                <w:rFonts w:hint="eastAsia" w:ascii="仿宋_GB2312" w:hAnsi="仿宋_GB2312" w:eastAsia="仿宋_GB2312" w:cs="仿宋_GB2312"/>
                <w:b w:val="0"/>
                <w:bCs w:val="0"/>
                <w:color w:val="auto"/>
                <w:sz w:val="21"/>
                <w:szCs w:val="21"/>
              </w:rPr>
            </w:pPr>
          </w:p>
          <w:p>
            <w:pPr>
              <w:pStyle w:val="7"/>
              <w:jc w:val="center"/>
              <w:rPr>
                <w:rFonts w:hint="eastAsia" w:ascii="仿宋_GB2312" w:hAnsi="仿宋_GB2312" w:eastAsia="仿宋_GB2312" w:cs="仿宋_GB2312"/>
                <w:b w:val="0"/>
                <w:bCs w:val="0"/>
                <w:color w:val="auto"/>
                <w:sz w:val="21"/>
                <w:szCs w:val="21"/>
              </w:rPr>
            </w:pPr>
          </w:p>
          <w:p>
            <w:pPr>
              <w:pStyle w:val="7"/>
              <w:spacing w:line="237" w:lineRule="auto"/>
              <w:ind w:left="110" w:leftChars="0" w:right="89" w:rightChars="0"/>
              <w:jc w:val="center"/>
              <w:rPr>
                <w:rFonts w:hint="eastAsia" w:ascii="仿宋_GB2312" w:hAnsi="仿宋_GB2312" w:eastAsia="仿宋_GB2312" w:cs="仿宋_GB2312"/>
                <w:b w:val="0"/>
                <w:bCs w:val="0"/>
                <w:color w:val="auto"/>
                <w:sz w:val="21"/>
                <w:szCs w:val="21"/>
                <w:lang w:eastAsia="zh-CN"/>
              </w:rPr>
            </w:pPr>
          </w:p>
          <w:p>
            <w:pPr>
              <w:pStyle w:val="7"/>
              <w:spacing w:line="237" w:lineRule="auto"/>
              <w:ind w:left="110" w:leftChars="0" w:right="89" w:rightChars="0"/>
              <w:jc w:val="center"/>
              <w:rPr>
                <w:rFonts w:hint="eastAsia" w:ascii="仿宋_GB2312" w:hAnsi="仿宋_GB2312" w:eastAsia="仿宋_GB2312" w:cs="仿宋_GB2312"/>
                <w:b w:val="0"/>
                <w:bCs w:val="0"/>
                <w:color w:val="auto"/>
                <w:sz w:val="21"/>
                <w:szCs w:val="21"/>
                <w:lang w:eastAsia="zh-CN"/>
              </w:rPr>
            </w:pPr>
          </w:p>
          <w:p>
            <w:pPr>
              <w:pStyle w:val="7"/>
              <w:spacing w:line="237" w:lineRule="auto"/>
              <w:ind w:left="110" w:leftChars="0" w:right="89" w:rightChars="0"/>
              <w:jc w:val="center"/>
              <w:rPr>
                <w:rFonts w:hint="eastAsia" w:ascii="仿宋_GB2312" w:hAnsi="仿宋_GB2312" w:eastAsia="仿宋_GB2312" w:cs="仿宋_GB2312"/>
                <w:b w:val="0"/>
                <w:bCs w:val="0"/>
                <w:color w:val="auto"/>
                <w:sz w:val="21"/>
                <w:szCs w:val="21"/>
                <w:vertAlign w:val="baseline"/>
                <w:lang w:val="en-US" w:eastAsia="zh-CN"/>
              </w:rPr>
            </w:pPr>
          </w:p>
          <w:p>
            <w:pPr>
              <w:pStyle w:val="7"/>
              <w:spacing w:line="237" w:lineRule="auto"/>
              <w:ind w:left="110" w:leftChars="0" w:right="89" w:rightChars="0"/>
              <w:jc w:val="center"/>
              <w:rPr>
                <w:rFonts w:hint="eastAsia" w:ascii="仿宋_GB2312" w:hAnsi="仿宋_GB2312" w:eastAsia="仿宋_GB2312" w:cs="仿宋_GB2312"/>
                <w:b w:val="0"/>
                <w:bCs w:val="0"/>
                <w:color w:val="auto"/>
                <w:sz w:val="24"/>
                <w:szCs w:val="24"/>
                <w:vertAlign w:val="baseline"/>
                <w:lang w:val="en-US" w:eastAsia="zh-CN"/>
              </w:rPr>
            </w:pPr>
            <w:r>
              <w:rPr>
                <w:rFonts w:hint="eastAsia" w:ascii="仿宋_GB2312" w:hAnsi="仿宋_GB2312" w:eastAsia="仿宋_GB2312" w:cs="仿宋_GB2312"/>
                <w:b w:val="0"/>
                <w:bCs w:val="0"/>
                <w:color w:val="auto"/>
                <w:sz w:val="21"/>
                <w:szCs w:val="21"/>
                <w:highlight w:val="none"/>
                <w:shd w:val="clear"/>
                <w:vertAlign w:val="baseline"/>
                <w:lang w:val="en-US" w:eastAsia="zh-CN"/>
              </w:rPr>
              <w:t>行政处罚</w:t>
            </w:r>
          </w:p>
        </w:tc>
        <w:tc>
          <w:tcPr>
            <w:tcW w:w="2040" w:type="dxa"/>
            <w:vAlign w:val="top"/>
          </w:tcPr>
          <w:p>
            <w:pPr>
              <w:pStyle w:val="7"/>
              <w:jc w:val="center"/>
              <w:rPr>
                <w:rFonts w:hint="eastAsia" w:ascii="仿宋_GB2312" w:hAnsi="仿宋_GB2312" w:eastAsia="仿宋_GB2312" w:cs="仿宋_GB2312"/>
                <w:b w:val="0"/>
                <w:bCs w:val="0"/>
                <w:color w:val="auto"/>
                <w:sz w:val="21"/>
                <w:szCs w:val="21"/>
              </w:rPr>
            </w:pPr>
          </w:p>
          <w:p>
            <w:pPr>
              <w:pStyle w:val="7"/>
              <w:jc w:val="center"/>
              <w:rPr>
                <w:rFonts w:hint="eastAsia" w:ascii="仿宋_GB2312" w:hAnsi="仿宋_GB2312" w:eastAsia="仿宋_GB2312" w:cs="仿宋_GB2312"/>
                <w:b w:val="0"/>
                <w:bCs w:val="0"/>
                <w:color w:val="auto"/>
                <w:sz w:val="21"/>
                <w:szCs w:val="21"/>
              </w:rPr>
            </w:pPr>
          </w:p>
          <w:p>
            <w:pPr>
              <w:pStyle w:val="7"/>
              <w:spacing w:before="9"/>
              <w:jc w:val="center"/>
              <w:rPr>
                <w:rFonts w:hint="eastAsia" w:ascii="仿宋_GB2312" w:hAnsi="仿宋_GB2312" w:eastAsia="仿宋_GB2312" w:cs="仿宋_GB2312"/>
                <w:b w:val="0"/>
                <w:bCs w:val="0"/>
                <w:color w:val="auto"/>
                <w:sz w:val="21"/>
                <w:szCs w:val="21"/>
              </w:rPr>
            </w:pPr>
          </w:p>
          <w:p>
            <w:pPr>
              <w:pStyle w:val="7"/>
              <w:spacing w:before="1" w:line="237" w:lineRule="auto"/>
              <w:ind w:left="30" w:leftChars="0" w:right="159" w:rightChars="0"/>
              <w:jc w:val="center"/>
              <w:rPr>
                <w:rFonts w:hint="eastAsia" w:ascii="仿宋_GB2312" w:hAnsi="仿宋_GB2312" w:eastAsia="仿宋_GB2312" w:cs="仿宋_GB2312"/>
                <w:b w:val="0"/>
                <w:bCs w:val="0"/>
                <w:color w:val="auto"/>
                <w:sz w:val="21"/>
                <w:szCs w:val="21"/>
              </w:rPr>
            </w:pPr>
          </w:p>
          <w:p>
            <w:pPr>
              <w:pStyle w:val="7"/>
              <w:spacing w:before="1" w:line="237" w:lineRule="auto"/>
              <w:ind w:left="30" w:leftChars="0" w:right="159" w:rightChars="0"/>
              <w:jc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rPr>
              <w:t>【法律】《社会保险法》</w:t>
            </w:r>
            <w:r>
              <w:rPr>
                <w:rFonts w:hint="eastAsia" w:ascii="仿宋_GB2312" w:hAnsi="仿宋_GB2312" w:eastAsia="仿宋_GB2312" w:cs="仿宋_GB2312"/>
                <w:b w:val="0"/>
                <w:bCs w:val="0"/>
                <w:color w:val="auto"/>
                <w:w w:val="105"/>
                <w:sz w:val="21"/>
                <w:szCs w:val="21"/>
              </w:rPr>
              <w:t>第七十七条 县级以上人</w:t>
            </w:r>
            <w:r>
              <w:rPr>
                <w:rFonts w:hint="eastAsia" w:ascii="仿宋_GB2312" w:hAnsi="仿宋_GB2312" w:eastAsia="仿宋_GB2312" w:cs="仿宋_GB2312"/>
                <w:b w:val="0"/>
                <w:bCs w:val="0"/>
                <w:color w:val="auto"/>
                <w:sz w:val="21"/>
                <w:szCs w:val="21"/>
              </w:rPr>
              <w:t>民政府社会保险行政部门应当加强对用人单位和个人遵守社会保险法律、法</w:t>
            </w:r>
            <w:r>
              <w:rPr>
                <w:rFonts w:hint="eastAsia" w:ascii="仿宋_GB2312" w:hAnsi="仿宋_GB2312" w:eastAsia="仿宋_GB2312" w:cs="仿宋_GB2312"/>
                <w:b w:val="0"/>
                <w:bCs w:val="0"/>
                <w:color w:val="auto"/>
                <w:w w:val="105"/>
                <w:sz w:val="21"/>
                <w:szCs w:val="21"/>
              </w:rPr>
              <w:t>规情况的监督检查。</w:t>
            </w:r>
          </w:p>
        </w:tc>
        <w:tc>
          <w:tcPr>
            <w:tcW w:w="2565" w:type="dxa"/>
            <w:vAlign w:val="top"/>
          </w:tcPr>
          <w:p>
            <w:pPr>
              <w:pStyle w:val="7"/>
              <w:jc w:val="center"/>
              <w:rPr>
                <w:rFonts w:hint="eastAsia" w:ascii="仿宋_GB2312" w:hAnsi="仿宋_GB2312" w:eastAsia="仿宋_GB2312" w:cs="仿宋_GB2312"/>
                <w:b w:val="0"/>
                <w:bCs w:val="0"/>
                <w:color w:val="auto"/>
                <w:sz w:val="21"/>
                <w:szCs w:val="21"/>
              </w:rPr>
            </w:pPr>
          </w:p>
          <w:p>
            <w:pPr>
              <w:pStyle w:val="7"/>
              <w:jc w:val="center"/>
              <w:rPr>
                <w:rFonts w:hint="eastAsia" w:ascii="仿宋_GB2312" w:hAnsi="仿宋_GB2312" w:eastAsia="仿宋_GB2312" w:cs="仿宋_GB2312"/>
                <w:b w:val="0"/>
                <w:bCs w:val="0"/>
                <w:color w:val="auto"/>
                <w:sz w:val="21"/>
                <w:szCs w:val="21"/>
              </w:rPr>
            </w:pPr>
          </w:p>
          <w:p>
            <w:pPr>
              <w:pStyle w:val="7"/>
              <w:spacing w:before="8"/>
              <w:jc w:val="center"/>
              <w:rPr>
                <w:rFonts w:hint="eastAsia" w:ascii="仿宋_GB2312" w:hAnsi="仿宋_GB2312" w:eastAsia="仿宋_GB2312" w:cs="仿宋_GB2312"/>
                <w:b w:val="0"/>
                <w:bCs w:val="0"/>
                <w:color w:val="auto"/>
                <w:sz w:val="21"/>
                <w:szCs w:val="21"/>
              </w:rPr>
            </w:pPr>
          </w:p>
          <w:p>
            <w:pPr>
              <w:pStyle w:val="7"/>
              <w:ind w:left="30" w:right="75"/>
              <w:jc w:val="center"/>
              <w:rPr>
                <w:rFonts w:hint="eastAsia" w:ascii="仿宋_GB2312" w:hAnsi="仿宋_GB2312" w:eastAsia="仿宋_GB2312" w:cs="仿宋_GB2312"/>
                <w:b w:val="0"/>
                <w:bCs w:val="0"/>
                <w:color w:val="auto"/>
                <w:sz w:val="21"/>
                <w:szCs w:val="21"/>
                <w:highlight w:val="none"/>
              </w:rPr>
            </w:pPr>
          </w:p>
          <w:p>
            <w:pPr>
              <w:pStyle w:val="7"/>
              <w:ind w:left="30" w:right="75"/>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1</w:t>
            </w:r>
            <w:r>
              <w:rPr>
                <w:rFonts w:hint="eastAsia" w:ascii="仿宋_GB2312" w:hAnsi="仿宋_GB2312" w:eastAsia="仿宋_GB2312" w:cs="仿宋_GB2312"/>
                <w:b w:val="0"/>
                <w:bCs w:val="0"/>
                <w:color w:val="auto"/>
                <w:sz w:val="21"/>
                <w:szCs w:val="21"/>
                <w:highlight w:val="none"/>
                <w:lang w:val="en-US" w:eastAsia="zh-CN"/>
              </w:rPr>
              <w:t>.</w:t>
            </w:r>
            <w:r>
              <w:rPr>
                <w:rFonts w:hint="eastAsia" w:ascii="仿宋_GB2312" w:hAnsi="仿宋_GB2312" w:eastAsia="仿宋_GB2312" w:cs="仿宋_GB2312"/>
                <w:b w:val="0"/>
                <w:bCs w:val="0"/>
                <w:color w:val="auto"/>
                <w:sz w:val="21"/>
                <w:szCs w:val="21"/>
                <w:highlight w:val="none"/>
              </w:rPr>
              <w:t>对查实的违约行为，严格按照协议约</w:t>
            </w:r>
            <w:r>
              <w:rPr>
                <w:rFonts w:hint="eastAsia" w:ascii="仿宋_GB2312" w:hAnsi="仿宋_GB2312" w:eastAsia="仿宋_GB2312" w:cs="仿宋_GB2312"/>
                <w:b w:val="0"/>
                <w:bCs w:val="0"/>
                <w:color w:val="auto"/>
                <w:w w:val="105"/>
                <w:sz w:val="21"/>
                <w:szCs w:val="21"/>
                <w:highlight w:val="none"/>
              </w:rPr>
              <w:t>定进行处罚；</w:t>
            </w:r>
          </w:p>
          <w:p>
            <w:pPr>
              <w:pStyle w:val="7"/>
              <w:spacing w:line="235" w:lineRule="auto"/>
              <w:ind w:left="30" w:right="75"/>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2</w:t>
            </w:r>
            <w:r>
              <w:rPr>
                <w:rFonts w:hint="eastAsia" w:ascii="仿宋_GB2312" w:hAnsi="仿宋_GB2312" w:eastAsia="仿宋_GB2312" w:cs="仿宋_GB2312"/>
                <w:b w:val="0"/>
                <w:bCs w:val="0"/>
                <w:color w:val="auto"/>
                <w:spacing w:val="-1"/>
                <w:sz w:val="21"/>
                <w:szCs w:val="21"/>
                <w:highlight w:val="none"/>
                <w:lang w:val="en-US" w:eastAsia="zh-CN"/>
              </w:rPr>
              <w:t>.</w:t>
            </w:r>
            <w:r>
              <w:rPr>
                <w:rFonts w:hint="eastAsia" w:ascii="仿宋_GB2312" w:hAnsi="仿宋_GB2312" w:eastAsia="仿宋_GB2312" w:cs="仿宋_GB2312"/>
                <w:b w:val="0"/>
                <w:bCs w:val="0"/>
                <w:color w:val="auto"/>
                <w:spacing w:val="-1"/>
                <w:sz w:val="21"/>
                <w:szCs w:val="21"/>
                <w:highlight w:val="none"/>
              </w:rPr>
              <w:t>对涉嫌违反行政法规的，及时提请行</w:t>
            </w:r>
            <w:r>
              <w:rPr>
                <w:rFonts w:hint="eastAsia" w:ascii="仿宋_GB2312" w:hAnsi="仿宋_GB2312" w:eastAsia="仿宋_GB2312" w:cs="仿宋_GB2312"/>
                <w:b w:val="0"/>
                <w:bCs w:val="0"/>
                <w:color w:val="auto"/>
                <w:w w:val="105"/>
                <w:sz w:val="21"/>
                <w:szCs w:val="21"/>
                <w:highlight w:val="none"/>
              </w:rPr>
              <w:t>政部门行政处罚；</w:t>
            </w:r>
          </w:p>
          <w:p>
            <w:pPr>
              <w:pStyle w:val="7"/>
              <w:spacing w:line="235" w:lineRule="auto"/>
              <w:ind w:left="30" w:leftChars="0" w:right="75" w:rightChars="0"/>
              <w:jc w:val="center"/>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highlight w:val="none"/>
              </w:rPr>
              <w:t>3</w:t>
            </w:r>
            <w:r>
              <w:rPr>
                <w:rFonts w:hint="eastAsia" w:ascii="仿宋_GB2312" w:hAnsi="仿宋_GB2312" w:eastAsia="仿宋_GB2312" w:cs="仿宋_GB2312"/>
                <w:b w:val="0"/>
                <w:bCs w:val="0"/>
                <w:color w:val="auto"/>
                <w:spacing w:val="-1"/>
                <w:sz w:val="21"/>
                <w:szCs w:val="21"/>
                <w:highlight w:val="none"/>
                <w:lang w:val="en-US" w:eastAsia="zh-CN"/>
              </w:rPr>
              <w:t>.</w:t>
            </w:r>
            <w:r>
              <w:rPr>
                <w:rFonts w:hint="eastAsia" w:ascii="仿宋_GB2312" w:hAnsi="仿宋_GB2312" w:eastAsia="仿宋_GB2312" w:cs="仿宋_GB2312"/>
                <w:b w:val="0"/>
                <w:bCs w:val="0"/>
                <w:color w:val="auto"/>
                <w:spacing w:val="-1"/>
                <w:sz w:val="21"/>
                <w:szCs w:val="21"/>
                <w:highlight w:val="none"/>
              </w:rPr>
              <w:t>涉嫌违反法律的，及时移送司法机关</w:t>
            </w:r>
            <w:r>
              <w:rPr>
                <w:rFonts w:hint="eastAsia" w:ascii="仿宋_GB2312" w:hAnsi="仿宋_GB2312" w:eastAsia="仿宋_GB2312" w:cs="仿宋_GB2312"/>
                <w:b w:val="0"/>
                <w:bCs w:val="0"/>
                <w:color w:val="auto"/>
                <w:w w:val="105"/>
                <w:sz w:val="21"/>
                <w:szCs w:val="21"/>
                <w:highlight w:val="none"/>
              </w:rPr>
              <w:t>依法追究刑事责任</w:t>
            </w:r>
          </w:p>
        </w:tc>
        <w:tc>
          <w:tcPr>
            <w:tcW w:w="3559" w:type="dxa"/>
            <w:vAlign w:val="top"/>
          </w:tcPr>
          <w:p>
            <w:pPr>
              <w:pStyle w:val="7"/>
              <w:keepNext w:val="0"/>
              <w:keepLines w:val="0"/>
              <w:pageBreakBefore w:val="0"/>
              <w:widowControl w:val="0"/>
              <w:kinsoku/>
              <w:wordWrap/>
              <w:overflowPunct/>
              <w:topLinePunct w:val="0"/>
              <w:autoSpaceDE/>
              <w:autoSpaceDN/>
              <w:bidi w:val="0"/>
              <w:adjustRightInd/>
              <w:snapToGrid/>
              <w:spacing w:line="230" w:lineRule="exact"/>
              <w:ind w:right="147" w:rightChars="0"/>
              <w:jc w:val="center"/>
              <w:textAlignment w:val="auto"/>
              <w:rPr>
                <w:rFonts w:hint="eastAsia" w:ascii="仿宋_GB2312" w:hAnsi="仿宋_GB2312" w:eastAsia="仿宋_GB2312" w:cs="仿宋_GB2312"/>
                <w:b w:val="0"/>
                <w:bCs w:val="0"/>
                <w:color w:val="auto"/>
                <w:w w:val="105"/>
                <w:sz w:val="18"/>
                <w:szCs w:val="18"/>
              </w:rPr>
            </w:pPr>
            <w:r>
              <w:rPr>
                <w:rFonts w:hint="eastAsia" w:ascii="仿宋_GB2312" w:hAnsi="仿宋_GB2312" w:eastAsia="仿宋_GB2312" w:cs="仿宋_GB2312"/>
                <w:b w:val="0"/>
                <w:bCs w:val="0"/>
                <w:color w:val="auto"/>
                <w:sz w:val="18"/>
                <w:szCs w:val="18"/>
              </w:rPr>
              <w:t>《中华人民共和国社会保险法》第</w:t>
            </w:r>
            <w:r>
              <w:rPr>
                <w:rFonts w:hint="eastAsia" w:ascii="仿宋_GB2312" w:hAnsi="仿宋_GB2312" w:eastAsia="仿宋_GB2312" w:cs="仿宋_GB2312"/>
                <w:b w:val="0"/>
                <w:bCs w:val="0"/>
                <w:color w:val="auto"/>
                <w:w w:val="105"/>
                <w:sz w:val="18"/>
                <w:szCs w:val="18"/>
              </w:rPr>
              <w:t>七十九条 社会保险行政部门对社</w:t>
            </w:r>
            <w:r>
              <w:rPr>
                <w:rFonts w:hint="eastAsia" w:ascii="仿宋_GB2312" w:hAnsi="仿宋_GB2312" w:eastAsia="仿宋_GB2312" w:cs="仿宋_GB2312"/>
                <w:b w:val="0"/>
                <w:bCs w:val="0"/>
                <w:color w:val="auto"/>
                <w:sz w:val="18"/>
                <w:szCs w:val="18"/>
              </w:rPr>
              <w:t>会保险基金的收支、管理和投资运营情况进行监督检查，发现存在问题的，应当提出整改建议，依法作出处理决定或者向有关行政部门提出处理建议。社会保险基金检查结</w:t>
            </w:r>
            <w:r>
              <w:rPr>
                <w:rFonts w:hint="eastAsia" w:ascii="仿宋_GB2312" w:hAnsi="仿宋_GB2312" w:eastAsia="仿宋_GB2312" w:cs="仿宋_GB2312"/>
                <w:b w:val="0"/>
                <w:bCs w:val="0"/>
                <w:color w:val="auto"/>
                <w:w w:val="105"/>
                <w:sz w:val="18"/>
                <w:szCs w:val="18"/>
              </w:rPr>
              <w:t>果应当定期向社会公布。</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rPr>
                <w:rFonts w:hint="eastAsia"/>
                <w:b w:val="0"/>
                <w:bCs w:val="0"/>
                <w:color w:val="auto"/>
                <w:sz w:val="18"/>
                <w:szCs w:val="21"/>
                <w:lang w:val="en-US" w:eastAsia="zh-CN"/>
              </w:rPr>
            </w:pP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rPr>
                <w:rFonts w:hint="eastAsia" w:ascii="仿宋_GB2312" w:hAnsi="仿宋_GB2312" w:eastAsia="仿宋_GB2312" w:cs="仿宋_GB2312"/>
                <w:b w:val="0"/>
                <w:bCs w:val="0"/>
                <w:color w:val="auto"/>
                <w:w w:val="105"/>
                <w:sz w:val="18"/>
                <w:szCs w:val="18"/>
                <w:lang w:val="en-US" w:eastAsia="zh-CN"/>
              </w:rPr>
            </w:pPr>
            <w:r>
              <w:rPr>
                <w:rFonts w:hint="eastAsia"/>
                <w:b w:val="0"/>
                <w:bCs w:val="0"/>
                <w:color w:val="auto"/>
                <w:sz w:val="18"/>
                <w:szCs w:val="21"/>
                <w:lang w:val="en-US" w:eastAsia="zh-CN"/>
              </w:rPr>
              <w:t>补充：</w:t>
            </w:r>
            <w:r>
              <w:rPr>
                <w:rFonts w:hint="eastAsia" w:ascii="仿宋_GB2312" w:hAnsi="仿宋_GB2312" w:eastAsia="仿宋_GB2312" w:cs="仿宋_GB2312"/>
                <w:b w:val="0"/>
                <w:bCs w:val="0"/>
                <w:color w:val="auto"/>
                <w:sz w:val="18"/>
                <w:szCs w:val="18"/>
              </w:rPr>
              <w:t>《医疗保障基金使用监督管理条例》第</w:t>
            </w:r>
            <w:r>
              <w:rPr>
                <w:rFonts w:hint="eastAsia" w:ascii="仿宋_GB2312" w:hAnsi="仿宋_GB2312" w:eastAsia="仿宋_GB2312" w:cs="仿宋_GB2312"/>
                <w:b w:val="0"/>
                <w:bCs w:val="0"/>
                <w:color w:val="auto"/>
                <w:sz w:val="18"/>
                <w:szCs w:val="18"/>
                <w:lang w:eastAsia="zh-CN"/>
              </w:rPr>
              <w:t>二十二</w:t>
            </w:r>
            <w:r>
              <w:rPr>
                <w:rFonts w:hint="eastAsia" w:ascii="仿宋_GB2312" w:hAnsi="仿宋_GB2312" w:eastAsia="仿宋_GB2312" w:cs="仿宋_GB2312"/>
                <w:b w:val="0"/>
                <w:bCs w:val="0"/>
                <w:color w:val="auto"/>
                <w:w w:val="105"/>
                <w:sz w:val="18"/>
                <w:szCs w:val="18"/>
              </w:rPr>
              <w:t>条</w:t>
            </w:r>
            <w:r>
              <w:rPr>
                <w:rFonts w:hint="eastAsia" w:ascii="仿宋_GB2312" w:hAnsi="仿宋_GB2312" w:eastAsia="仿宋_GB2312" w:cs="仿宋_GB2312"/>
                <w:b w:val="0"/>
                <w:bCs w:val="0"/>
                <w:color w:val="auto"/>
                <w:w w:val="105"/>
                <w:sz w:val="18"/>
                <w:szCs w:val="18"/>
                <w:lang w:val="en-US" w:eastAsia="zh-CN"/>
              </w:rPr>
              <w:t>第二款 医疗保障行政部门应当加强对纳入医疗保障基金支付范围的医疗服务行为和医疗费用的监督，规范医疗保障经办业务，依法查处违法使用医疗保障基金的行为。</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rPr>
              <w:t>第</w:t>
            </w:r>
            <w:r>
              <w:rPr>
                <w:rFonts w:hint="eastAsia" w:ascii="仿宋_GB2312" w:hAnsi="仿宋_GB2312" w:eastAsia="仿宋_GB2312" w:cs="仿宋_GB2312"/>
                <w:b w:val="0"/>
                <w:bCs w:val="0"/>
                <w:color w:val="auto"/>
                <w:sz w:val="18"/>
                <w:szCs w:val="18"/>
                <w:lang w:eastAsia="zh-CN"/>
              </w:rPr>
              <w:t>二十七条</w:t>
            </w:r>
            <w:r>
              <w:rPr>
                <w:rFonts w:hint="eastAsia" w:ascii="仿宋_GB2312" w:hAnsi="仿宋_GB2312" w:eastAsia="仿宋_GB2312" w:cs="仿宋_GB2312"/>
                <w:b w:val="0"/>
                <w:bCs w:val="0"/>
                <w:color w:val="auto"/>
                <w:sz w:val="18"/>
                <w:szCs w:val="18"/>
                <w:lang w:val="en-US" w:eastAsia="zh-CN"/>
              </w:rPr>
              <w:t xml:space="preserve"> 医疗保障行政部门实施监督检查，可以采取下列措施∶</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（一）进入现场检查;</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（二）询问有关人员;</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（三）要求被检查对象提供与检查事项相关的文件资料，并作出解释和说明;</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（四）采取记录、录音、录像、照相或者复制等方式收集有关情况和资料;</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（五）对可能被转移、隐匿或者灭失的资料等予以封存;</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（六）聘请符合条件的会计师事务所等第三方机构和专业人员协助开展检查;</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rPr>
                <w:rFonts w:hint="eastAsia" w:ascii="仿宋_GB2312" w:hAnsi="仿宋_GB2312" w:eastAsia="仿宋_GB2312" w:cs="仿宋_GB2312"/>
                <w:b w:val="0"/>
                <w:bCs w:val="0"/>
                <w:color w:val="auto"/>
                <w:w w:val="105"/>
                <w:sz w:val="21"/>
                <w:szCs w:val="21"/>
                <w:lang w:val="en-US" w:eastAsia="zh-CN"/>
              </w:rPr>
            </w:pPr>
            <w:r>
              <w:rPr>
                <w:rFonts w:hint="eastAsia" w:ascii="仿宋_GB2312" w:hAnsi="仿宋_GB2312" w:eastAsia="仿宋_GB2312" w:cs="仿宋_GB2312"/>
                <w:b w:val="0"/>
                <w:bCs w:val="0"/>
                <w:color w:val="auto"/>
                <w:sz w:val="18"/>
                <w:szCs w:val="18"/>
                <w:lang w:val="en-US" w:eastAsia="zh-CN"/>
              </w:rPr>
              <w:t>（七）法律、法规规定的其他措施。</w:t>
            </w:r>
          </w:p>
        </w:tc>
        <w:tc>
          <w:tcPr>
            <w:tcW w:w="873" w:type="dxa"/>
            <w:vAlign w:val="top"/>
          </w:tcPr>
          <w:p>
            <w:pPr>
              <w:pStyle w:val="7"/>
              <w:jc w:val="center"/>
              <w:rPr>
                <w:rFonts w:hint="eastAsia" w:ascii="仿宋_GB2312" w:hAnsi="仿宋_GB2312" w:eastAsia="仿宋_GB2312" w:cs="仿宋_GB2312"/>
                <w:b w:val="0"/>
                <w:bCs w:val="0"/>
                <w:color w:val="auto"/>
                <w:sz w:val="24"/>
                <w:szCs w:val="24"/>
              </w:rPr>
            </w:pPr>
          </w:p>
          <w:p>
            <w:pPr>
              <w:pStyle w:val="7"/>
              <w:jc w:val="center"/>
              <w:rPr>
                <w:rFonts w:hint="eastAsia" w:ascii="仿宋_GB2312" w:hAnsi="仿宋_GB2312" w:eastAsia="仿宋_GB2312" w:cs="仿宋_GB2312"/>
                <w:b w:val="0"/>
                <w:bCs w:val="0"/>
                <w:color w:val="auto"/>
                <w:sz w:val="24"/>
                <w:szCs w:val="24"/>
              </w:rPr>
            </w:pPr>
          </w:p>
          <w:p>
            <w:pPr>
              <w:pStyle w:val="7"/>
              <w:jc w:val="center"/>
              <w:rPr>
                <w:rFonts w:hint="eastAsia" w:ascii="仿宋_GB2312" w:hAnsi="仿宋_GB2312" w:eastAsia="仿宋_GB2312" w:cs="仿宋_GB2312"/>
                <w:b w:val="0"/>
                <w:bCs w:val="0"/>
                <w:color w:val="auto"/>
                <w:sz w:val="24"/>
                <w:szCs w:val="24"/>
              </w:rPr>
            </w:pPr>
          </w:p>
          <w:p>
            <w:pPr>
              <w:pStyle w:val="7"/>
              <w:jc w:val="center"/>
              <w:rPr>
                <w:rFonts w:hint="eastAsia" w:ascii="仿宋_GB2312" w:hAnsi="仿宋_GB2312" w:eastAsia="仿宋_GB2312" w:cs="仿宋_GB2312"/>
                <w:b w:val="0"/>
                <w:bCs w:val="0"/>
                <w:color w:val="auto"/>
                <w:sz w:val="24"/>
                <w:szCs w:val="24"/>
              </w:rPr>
            </w:pPr>
          </w:p>
          <w:p>
            <w:pPr>
              <w:pStyle w:val="7"/>
              <w:jc w:val="center"/>
              <w:rPr>
                <w:rFonts w:hint="eastAsia" w:ascii="仿宋_GB2312" w:hAnsi="仿宋_GB2312" w:eastAsia="仿宋_GB2312" w:cs="仿宋_GB2312"/>
                <w:b w:val="0"/>
                <w:bCs w:val="0"/>
                <w:color w:val="auto"/>
                <w:sz w:val="24"/>
                <w:szCs w:val="24"/>
              </w:rPr>
            </w:pPr>
          </w:p>
          <w:p>
            <w:pPr>
              <w:pStyle w:val="7"/>
              <w:spacing w:before="128"/>
              <w:ind w:right="69"/>
              <w:jc w:val="center"/>
              <w:rPr>
                <w:rFonts w:hint="eastAsia" w:ascii="仿宋_GB2312" w:hAnsi="仿宋_GB2312" w:eastAsia="仿宋_GB2312" w:cs="仿宋_GB2312"/>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03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56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55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56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55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9" w:hRule="atLeast"/>
        </w:trPr>
        <w:tc>
          <w:tcPr>
            <w:tcW w:w="10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val="0"/>
                <w:bCs w:val="0"/>
                <w:sz w:val="24"/>
                <w:szCs w:val="24"/>
                <w:vertAlign w:val="baseline"/>
                <w:lang w:val="en-US" w:eastAsia="zh-CN"/>
              </w:rPr>
            </w:pPr>
            <w:r>
              <w:rPr>
                <w:rFonts w:hint="eastAsia" w:ascii="仿宋_GB2312"/>
                <w:b w:val="0"/>
                <w:bCs w:val="0"/>
                <w:sz w:val="21"/>
                <w:lang w:val="en-US" w:eastAsia="zh-CN"/>
              </w:rPr>
              <w:t>4</w:t>
            </w:r>
            <w:r>
              <w:rPr>
                <w:rFonts w:ascii="仿宋_GB2312"/>
                <w:b w:val="0"/>
                <w:bCs w:val="0"/>
                <w:sz w:val="21"/>
              </w:rPr>
              <w:t>9-</w:t>
            </w:r>
            <w:r>
              <w:rPr>
                <w:rFonts w:hint="eastAsia" w:ascii="仿宋_GB2312"/>
                <w:b w:val="0"/>
                <w:bCs w:val="0"/>
                <w:sz w:val="21"/>
                <w:lang w:val="en-US" w:eastAsia="zh-CN"/>
              </w:rPr>
              <w:t>B</w:t>
            </w:r>
            <w:r>
              <w:rPr>
                <w:rFonts w:ascii="仿宋_GB2312"/>
                <w:b w:val="0"/>
                <w:bCs w:val="0"/>
                <w:sz w:val="21"/>
              </w:rPr>
              <w:t>-0</w:t>
            </w:r>
            <w:r>
              <w:rPr>
                <w:rFonts w:hint="eastAsia" w:ascii="仿宋_GB2312"/>
                <w:b w:val="0"/>
                <w:bCs w:val="0"/>
                <w:sz w:val="21"/>
                <w:lang w:val="en-US" w:eastAsia="zh-CN"/>
              </w:rPr>
              <w:t>02</w:t>
            </w:r>
            <w:r>
              <w:rPr>
                <w:rFonts w:ascii="仿宋_GB2312"/>
                <w:b w:val="0"/>
                <w:bCs w:val="0"/>
                <w:sz w:val="21"/>
              </w:rPr>
              <w:t>00-1405</w:t>
            </w:r>
            <w:r>
              <w:rPr>
                <w:rFonts w:hint="eastAsia" w:ascii="仿宋_GB2312"/>
                <w:b w:val="0"/>
                <w:bCs w:val="0"/>
                <w:sz w:val="21"/>
                <w:lang w:val="en-US" w:eastAsia="zh-CN"/>
              </w:rPr>
              <w:t>81</w:t>
            </w:r>
          </w:p>
        </w:tc>
        <w:tc>
          <w:tcPr>
            <w:tcW w:w="1113" w:type="dxa"/>
            <w:vAlign w:val="center"/>
          </w:tcPr>
          <w:p>
            <w:pPr>
              <w:pStyle w:val="7"/>
              <w:spacing w:before="25"/>
              <w:ind w:left="17" w:right="5"/>
              <w:jc w:val="center"/>
              <w:rPr>
                <w:rFonts w:hint="eastAsia" w:ascii="仿宋" w:hAnsi="仿宋" w:eastAsia="仿宋" w:cs="仿宋"/>
                <w:b w:val="0"/>
                <w:bCs w:val="0"/>
                <w:sz w:val="24"/>
                <w:szCs w:val="24"/>
                <w:vertAlign w:val="baseline"/>
                <w:lang w:val="en-US" w:eastAsia="zh-CN"/>
              </w:rPr>
            </w:pPr>
            <w:r>
              <w:rPr>
                <w:rFonts w:hint="eastAsia" w:ascii="仿宋_GB2312" w:eastAsia="仿宋_GB2312"/>
                <w:b w:val="0"/>
                <w:bCs w:val="0"/>
                <w:sz w:val="21"/>
              </w:rPr>
              <w:t>对用人单位未办理</w:t>
            </w:r>
            <w:r>
              <w:rPr>
                <w:rFonts w:hint="eastAsia" w:ascii="仿宋_GB2312" w:eastAsia="仿宋_GB2312"/>
                <w:b w:val="0"/>
                <w:bCs w:val="0"/>
                <w:sz w:val="21"/>
                <w:lang w:eastAsia="zh-CN"/>
              </w:rPr>
              <w:t>医疗</w:t>
            </w:r>
            <w:r>
              <w:rPr>
                <w:rFonts w:hint="eastAsia" w:ascii="仿宋_GB2312" w:eastAsia="仿宋_GB2312"/>
                <w:b w:val="0"/>
                <w:bCs w:val="0"/>
                <w:sz w:val="21"/>
              </w:rPr>
              <w:t>保险登记的处罚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11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_GB2312" w:hAnsi="仿宋_GB2312" w:eastAsia="仿宋_GB2312" w:cs="仿宋_GB2312"/>
                <w:b w:val="0"/>
                <w:bCs w:val="0"/>
                <w:sz w:val="21"/>
                <w:szCs w:val="21"/>
                <w:lang w:eastAsia="zh-CN"/>
              </w:rPr>
              <w:t>高平</w:t>
            </w:r>
            <w:r>
              <w:rPr>
                <w:rFonts w:hint="eastAsia" w:ascii="仿宋_GB2312" w:hAnsi="仿宋_GB2312" w:eastAsia="仿宋_GB2312" w:cs="仿宋_GB2312"/>
                <w:b w:val="0"/>
                <w:bCs w:val="0"/>
                <w:sz w:val="21"/>
                <w:szCs w:val="21"/>
              </w:rPr>
              <w:t>市医疗保障局</w:t>
            </w:r>
          </w:p>
        </w:tc>
        <w:tc>
          <w:tcPr>
            <w:tcW w:w="1015" w:type="dxa"/>
            <w:vAlign w:val="center"/>
          </w:tcPr>
          <w:p>
            <w:pPr>
              <w:pStyle w:val="7"/>
              <w:spacing w:line="237" w:lineRule="auto"/>
              <w:ind w:left="110" w:leftChars="0" w:right="89" w:rightChars="0"/>
              <w:jc w:val="center"/>
              <w:rPr>
                <w:rFonts w:hint="eastAsia" w:ascii="仿宋_GB2312" w:hAnsi="仿宋_GB2312" w:eastAsia="仿宋_GB2312" w:cs="仿宋_GB2312"/>
                <w:b w:val="0"/>
                <w:bCs w:val="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color w:val="auto"/>
                <w:kern w:val="2"/>
                <w:sz w:val="21"/>
                <w:szCs w:val="21"/>
                <w:highlight w:val="none"/>
                <w:shd w:val="clear"/>
                <w:vertAlign w:val="baseline"/>
                <w:lang w:val="en-US" w:eastAsia="zh-CN" w:bidi="zh-CN"/>
              </w:rPr>
            </w:pPr>
            <w:r>
              <w:rPr>
                <w:rFonts w:hint="eastAsia" w:ascii="仿宋_GB2312" w:hAnsi="仿宋_GB2312" w:eastAsia="仿宋_GB2312" w:cs="仿宋_GB2312"/>
                <w:b w:val="0"/>
                <w:bCs w:val="0"/>
                <w:color w:val="auto"/>
                <w:kern w:val="2"/>
                <w:sz w:val="21"/>
                <w:szCs w:val="21"/>
                <w:highlight w:val="none"/>
                <w:shd w:val="clear"/>
                <w:vertAlign w:val="baseline"/>
                <w:lang w:val="en-US" w:eastAsia="zh-CN" w:bidi="zh-CN"/>
              </w:rPr>
              <w:t>行政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val="0"/>
                <w:bCs w:val="0"/>
                <w:color w:val="auto"/>
                <w:kern w:val="2"/>
                <w:sz w:val="21"/>
                <w:szCs w:val="21"/>
                <w:highlight w:val="none"/>
                <w:shd w:val="clear"/>
                <w:vertAlign w:val="baseline"/>
                <w:lang w:val="en-US" w:eastAsia="zh-CN" w:bidi="zh-CN"/>
              </w:rPr>
              <w:t>处罚</w:t>
            </w:r>
          </w:p>
        </w:tc>
        <w:tc>
          <w:tcPr>
            <w:tcW w:w="2040" w:type="dxa"/>
            <w:vAlign w:val="top"/>
          </w:tcPr>
          <w:p>
            <w:pPr>
              <w:pStyle w:val="7"/>
              <w:spacing w:before="5"/>
              <w:rPr>
                <w:rFonts w:hint="eastAsia" w:ascii="仿宋_GB2312" w:hAnsi="仿宋_GB2312" w:eastAsia="仿宋_GB2312" w:cs="仿宋_GB2312"/>
                <w:sz w:val="15"/>
              </w:rPr>
            </w:pPr>
          </w:p>
          <w:p>
            <w:pPr>
              <w:pStyle w:val="7"/>
              <w:spacing w:line="237" w:lineRule="auto"/>
              <w:ind w:left="30" w:right="159"/>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【法律】《社会保险法》</w:t>
            </w:r>
            <w:r>
              <w:rPr>
                <w:rFonts w:hint="eastAsia" w:ascii="仿宋_GB2312" w:hAnsi="仿宋_GB2312" w:eastAsia="仿宋_GB2312" w:cs="仿宋_GB2312"/>
                <w:w w:val="105"/>
                <w:sz w:val="18"/>
                <w:szCs w:val="18"/>
              </w:rPr>
              <w:t>第七十七条 县级以上人</w:t>
            </w:r>
            <w:r>
              <w:rPr>
                <w:rFonts w:hint="eastAsia" w:ascii="仿宋_GB2312" w:hAnsi="仿宋_GB2312" w:eastAsia="仿宋_GB2312" w:cs="仿宋_GB2312"/>
                <w:sz w:val="18"/>
                <w:szCs w:val="18"/>
              </w:rPr>
              <w:t>民政府社会保险行政部门应当加强对用人单位和个人遵守社会保险法律、法</w:t>
            </w:r>
            <w:r>
              <w:rPr>
                <w:rFonts w:hint="eastAsia" w:ascii="仿宋_GB2312" w:hAnsi="仿宋_GB2312" w:eastAsia="仿宋_GB2312" w:cs="仿宋_GB2312"/>
                <w:w w:val="105"/>
                <w:sz w:val="18"/>
                <w:szCs w:val="18"/>
              </w:rPr>
              <w:t>规情况的监督检查。</w:t>
            </w:r>
          </w:p>
          <w:p>
            <w:pPr>
              <w:pStyle w:val="7"/>
              <w:spacing w:line="235" w:lineRule="auto"/>
              <w:ind w:left="30" w:leftChars="0" w:right="159" w:rightChars="0"/>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18"/>
                <w:szCs w:val="18"/>
              </w:rPr>
              <w:t>【法律】《社会保险法》第八十四条：用人单位不办理社会保险登记的，由社会保险行政部门责令限期改正；逾期不改正的， 对用人单位处应缴社会保险费数额一倍以上三倍以下的罚款，对其直接负责的主管人员和其他直接责任人员处五百元以上三千</w:t>
            </w:r>
            <w:r>
              <w:rPr>
                <w:rFonts w:hint="eastAsia" w:ascii="仿宋_GB2312" w:hAnsi="仿宋_GB2312" w:eastAsia="仿宋_GB2312" w:cs="仿宋_GB2312"/>
                <w:w w:val="105"/>
                <w:sz w:val="18"/>
                <w:szCs w:val="18"/>
              </w:rPr>
              <w:t>元以下的罚款。</w:t>
            </w:r>
          </w:p>
        </w:tc>
        <w:tc>
          <w:tcPr>
            <w:tcW w:w="2565" w:type="dxa"/>
            <w:vAlign w:val="top"/>
          </w:tcPr>
          <w:p>
            <w:pPr>
              <w:pStyle w:val="7"/>
              <w:keepNext w:val="0"/>
              <w:keepLines w:val="0"/>
              <w:pageBreakBefore w:val="0"/>
              <w:widowControl w:val="0"/>
              <w:kinsoku/>
              <w:wordWrap/>
              <w:overflowPunct/>
              <w:topLinePunct w:val="0"/>
              <w:autoSpaceDE/>
              <w:autoSpaceDN/>
              <w:bidi w:val="0"/>
              <w:adjustRightInd/>
              <w:snapToGrid/>
              <w:spacing w:before="1" w:line="260" w:lineRule="exact"/>
              <w:ind w:left="30" w:right="159"/>
              <w:textAlignment w:val="auto"/>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1</w:t>
            </w:r>
            <w:r>
              <w:rPr>
                <w:rFonts w:hint="eastAsia" w:ascii="仿宋_GB2312" w:hAnsi="仿宋_GB2312" w:eastAsia="仿宋_GB2312" w:cs="仿宋_GB2312"/>
                <w:w w:val="105"/>
                <w:sz w:val="18"/>
                <w:szCs w:val="18"/>
                <w:lang w:val="en-US" w:eastAsia="zh-CN"/>
              </w:rPr>
              <w:t>.</w:t>
            </w:r>
            <w:r>
              <w:rPr>
                <w:rFonts w:hint="eastAsia" w:ascii="仿宋_GB2312" w:hAnsi="仿宋_GB2312" w:eastAsia="仿宋_GB2312" w:cs="仿宋_GB2312"/>
                <w:w w:val="105"/>
                <w:sz w:val="18"/>
                <w:szCs w:val="18"/>
              </w:rPr>
              <w:t>立案责任：依法审查并决定是否立</w:t>
            </w:r>
            <w:r>
              <w:rPr>
                <w:rFonts w:hint="eastAsia" w:ascii="仿宋_GB2312" w:hAnsi="仿宋_GB2312" w:eastAsia="仿宋_GB2312" w:cs="仿宋_GB2312"/>
                <w:sz w:val="18"/>
                <w:szCs w:val="18"/>
              </w:rPr>
              <w:t>案；对需要补充材料的，应一次性告知</w:t>
            </w:r>
            <w:r>
              <w:rPr>
                <w:rFonts w:hint="eastAsia" w:ascii="仿宋_GB2312" w:hAnsi="仿宋_GB2312" w:eastAsia="仿宋_GB2312" w:cs="仿宋_GB2312"/>
                <w:w w:val="103"/>
                <w:sz w:val="18"/>
                <w:szCs w:val="18"/>
              </w:rPr>
              <w:t>。</w:t>
            </w:r>
          </w:p>
          <w:p>
            <w:pPr>
              <w:pStyle w:val="7"/>
              <w:keepNext w:val="0"/>
              <w:keepLines w:val="0"/>
              <w:pageBreakBefore w:val="0"/>
              <w:widowControl w:val="0"/>
              <w:kinsoku/>
              <w:wordWrap/>
              <w:overflowPunct/>
              <w:topLinePunct w:val="0"/>
              <w:autoSpaceDE/>
              <w:autoSpaceDN/>
              <w:bidi w:val="0"/>
              <w:adjustRightInd/>
              <w:snapToGrid/>
              <w:spacing w:before="1" w:line="260" w:lineRule="exact"/>
              <w:ind w:left="30" w:right="75"/>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调查责任：遵循客观事实，依法进行</w:t>
            </w:r>
            <w:r>
              <w:rPr>
                <w:rFonts w:hint="eastAsia" w:ascii="仿宋_GB2312" w:hAnsi="仿宋_GB2312" w:eastAsia="仿宋_GB2312" w:cs="仿宋_GB2312"/>
                <w:w w:val="105"/>
                <w:sz w:val="18"/>
                <w:szCs w:val="18"/>
              </w:rPr>
              <w:t>调查。</w:t>
            </w:r>
          </w:p>
          <w:p>
            <w:pPr>
              <w:pStyle w:val="7"/>
              <w:keepNext w:val="0"/>
              <w:keepLines w:val="0"/>
              <w:pageBreakBefore w:val="0"/>
              <w:widowControl w:val="0"/>
              <w:kinsoku/>
              <w:wordWrap/>
              <w:overflowPunct/>
              <w:topLinePunct w:val="0"/>
              <w:autoSpaceDE/>
              <w:autoSpaceDN/>
              <w:bidi w:val="0"/>
              <w:adjustRightInd/>
              <w:snapToGrid/>
              <w:spacing w:before="1" w:line="260" w:lineRule="exact"/>
              <w:ind w:left="30" w:right="75"/>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审查责任：应当对违法事实、主要证</w:t>
            </w:r>
            <w:r>
              <w:rPr>
                <w:rFonts w:hint="eastAsia" w:ascii="仿宋_GB2312" w:hAnsi="仿宋_GB2312" w:eastAsia="仿宋_GB2312" w:cs="仿宋_GB2312"/>
                <w:w w:val="105"/>
                <w:sz w:val="18"/>
                <w:szCs w:val="18"/>
              </w:rPr>
              <w:t>据、调查取证程序、法律适用、处理种类和幅度以及当事人陈述理由等方面进行审查。</w:t>
            </w:r>
          </w:p>
          <w:p>
            <w:pPr>
              <w:pStyle w:val="7"/>
              <w:keepNext w:val="0"/>
              <w:keepLines w:val="0"/>
              <w:pageBreakBefore w:val="0"/>
              <w:widowControl w:val="0"/>
              <w:kinsoku/>
              <w:wordWrap/>
              <w:overflowPunct/>
              <w:topLinePunct w:val="0"/>
              <w:autoSpaceDE/>
              <w:autoSpaceDN/>
              <w:bidi w:val="0"/>
              <w:adjustRightInd/>
              <w:snapToGrid/>
              <w:spacing w:before="4" w:line="260" w:lineRule="exact"/>
              <w:ind w:left="30" w:right="75"/>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 xml:space="preserve">告知责任：在做出行政处罚决定前， </w:t>
            </w:r>
            <w:r>
              <w:rPr>
                <w:rFonts w:hint="eastAsia" w:ascii="仿宋_GB2312" w:hAnsi="仿宋_GB2312" w:eastAsia="仿宋_GB2312" w:cs="仿宋_GB2312"/>
                <w:w w:val="105"/>
                <w:sz w:val="18"/>
                <w:szCs w:val="18"/>
              </w:rPr>
              <w:t>应书面告知当事人违法事实、证据、处理内容、处理依据及其享有的陈述、申辩等权利。</w:t>
            </w:r>
          </w:p>
          <w:p>
            <w:pPr>
              <w:pStyle w:val="7"/>
              <w:keepNext w:val="0"/>
              <w:keepLines w:val="0"/>
              <w:pageBreakBefore w:val="0"/>
              <w:widowControl w:val="0"/>
              <w:kinsoku/>
              <w:wordWrap/>
              <w:overflowPunct/>
              <w:topLinePunct w:val="0"/>
              <w:autoSpaceDE/>
              <w:autoSpaceDN/>
              <w:bidi w:val="0"/>
              <w:adjustRightInd/>
              <w:snapToGrid/>
              <w:spacing w:before="2" w:line="260" w:lineRule="exact"/>
              <w:ind w:left="30" w:right="75"/>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决定责任：行政处罚决定书应载明违</w:t>
            </w:r>
            <w:r>
              <w:rPr>
                <w:rFonts w:hint="eastAsia" w:ascii="仿宋_GB2312" w:hAnsi="仿宋_GB2312" w:eastAsia="仿宋_GB2312" w:cs="仿宋_GB2312"/>
                <w:w w:val="105"/>
                <w:sz w:val="18"/>
                <w:szCs w:val="18"/>
              </w:rPr>
              <w:t>法事实和证据、处理依据和内容、申请行政复议或提起行政诉讼的途径和期限等，</w:t>
            </w:r>
          </w:p>
          <w:p>
            <w:pPr>
              <w:pStyle w:val="7"/>
              <w:keepNext w:val="0"/>
              <w:keepLines w:val="0"/>
              <w:pageBreakBefore w:val="0"/>
              <w:widowControl w:val="0"/>
              <w:kinsoku/>
              <w:wordWrap/>
              <w:overflowPunct/>
              <w:topLinePunct w:val="0"/>
              <w:autoSpaceDE/>
              <w:autoSpaceDN/>
              <w:bidi w:val="0"/>
              <w:adjustRightInd/>
              <w:snapToGrid/>
              <w:spacing w:before="3" w:line="260" w:lineRule="exact"/>
              <w:ind w:left="30" w:right="75"/>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r>
              <w:rPr>
                <w:rFonts w:hint="eastAsia" w:ascii="仿宋_GB2312" w:hAnsi="仿宋_GB2312" w:eastAsia="仿宋_GB2312" w:cs="仿宋_GB2312"/>
                <w:spacing w:val="-1"/>
                <w:sz w:val="18"/>
                <w:szCs w:val="18"/>
                <w:lang w:val="en-US" w:eastAsia="zh-CN"/>
              </w:rPr>
              <w:t>.</w:t>
            </w:r>
            <w:r>
              <w:rPr>
                <w:rFonts w:hint="eastAsia" w:ascii="仿宋_GB2312" w:hAnsi="仿宋_GB2312" w:eastAsia="仿宋_GB2312" w:cs="仿宋_GB2312"/>
                <w:spacing w:val="-1"/>
                <w:sz w:val="18"/>
                <w:szCs w:val="18"/>
              </w:rPr>
              <w:t>送达责任：依照法定程序将行政文书</w:t>
            </w:r>
            <w:r>
              <w:rPr>
                <w:rFonts w:hint="eastAsia" w:ascii="仿宋_GB2312" w:hAnsi="仿宋_GB2312" w:eastAsia="仿宋_GB2312" w:cs="仿宋_GB2312"/>
                <w:w w:val="105"/>
                <w:sz w:val="18"/>
                <w:szCs w:val="18"/>
              </w:rPr>
              <w:t>送达当事人。</w:t>
            </w:r>
          </w:p>
          <w:p>
            <w:pPr>
              <w:pStyle w:val="7"/>
              <w:keepNext w:val="0"/>
              <w:keepLines w:val="0"/>
              <w:pageBreakBefore w:val="0"/>
              <w:widowControl w:val="0"/>
              <w:kinsoku/>
              <w:wordWrap/>
              <w:overflowPunct/>
              <w:topLinePunct w:val="0"/>
              <w:autoSpaceDE/>
              <w:autoSpaceDN/>
              <w:bidi w:val="0"/>
              <w:adjustRightInd/>
              <w:snapToGrid/>
              <w:spacing w:line="260" w:lineRule="exact"/>
              <w:ind w:left="30" w:right="75"/>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r>
              <w:rPr>
                <w:rFonts w:hint="eastAsia" w:ascii="仿宋_GB2312" w:hAnsi="仿宋_GB2312" w:eastAsia="仿宋_GB2312" w:cs="仿宋_GB2312"/>
                <w:spacing w:val="-1"/>
                <w:sz w:val="18"/>
                <w:szCs w:val="18"/>
                <w:lang w:val="en-US" w:eastAsia="zh-CN"/>
              </w:rPr>
              <w:t>.</w:t>
            </w:r>
            <w:r>
              <w:rPr>
                <w:rFonts w:hint="eastAsia" w:ascii="仿宋_GB2312" w:hAnsi="仿宋_GB2312" w:eastAsia="仿宋_GB2312" w:cs="仿宋_GB2312"/>
                <w:spacing w:val="-1"/>
                <w:sz w:val="18"/>
                <w:szCs w:val="18"/>
              </w:rPr>
              <w:t>执行责任：督促当事人履行生效的行</w:t>
            </w:r>
            <w:r>
              <w:rPr>
                <w:rFonts w:hint="eastAsia" w:ascii="仿宋_GB2312" w:hAnsi="仿宋_GB2312" w:eastAsia="仿宋_GB2312" w:cs="仿宋_GB2312"/>
                <w:w w:val="105"/>
                <w:sz w:val="18"/>
                <w:szCs w:val="18"/>
              </w:rPr>
              <w:t>政处罚决定。</w:t>
            </w:r>
          </w:p>
          <w:p>
            <w:pPr>
              <w:pStyle w:val="7"/>
              <w:spacing w:line="200" w:lineRule="exact"/>
              <w:ind w:left="30"/>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w w:val="105"/>
                <w:sz w:val="18"/>
                <w:szCs w:val="18"/>
              </w:rPr>
              <w:t>8</w:t>
            </w:r>
            <w:r>
              <w:rPr>
                <w:rFonts w:hint="eastAsia" w:ascii="仿宋_GB2312" w:hAnsi="仿宋_GB2312" w:eastAsia="仿宋_GB2312" w:cs="仿宋_GB2312"/>
                <w:w w:val="105"/>
                <w:sz w:val="18"/>
                <w:szCs w:val="18"/>
                <w:lang w:val="en-US" w:eastAsia="zh-CN"/>
              </w:rPr>
              <w:t>.</w:t>
            </w:r>
            <w:r>
              <w:rPr>
                <w:rFonts w:hint="eastAsia" w:ascii="仿宋_GB2312" w:hAnsi="仿宋_GB2312" w:eastAsia="仿宋_GB2312" w:cs="仿宋_GB2312"/>
                <w:w w:val="105"/>
                <w:sz w:val="18"/>
                <w:szCs w:val="18"/>
              </w:rPr>
              <w:t>其他责任：法律法规规定的应当履行的其他责任</w:t>
            </w:r>
            <w:r>
              <w:rPr>
                <w:rFonts w:hint="eastAsia" w:ascii="仿宋_GB2312" w:hAnsi="仿宋_GB2312" w:eastAsia="仿宋_GB2312" w:cs="仿宋_GB2312"/>
                <w:w w:val="105"/>
                <w:sz w:val="16"/>
              </w:rPr>
              <w:t>。</w:t>
            </w:r>
          </w:p>
        </w:tc>
        <w:tc>
          <w:tcPr>
            <w:tcW w:w="3559" w:type="dxa"/>
            <w:vAlign w:val="top"/>
          </w:tcPr>
          <w:p>
            <w:pPr>
              <w:pStyle w:val="7"/>
              <w:rPr>
                <w:rFonts w:hint="eastAsia" w:ascii="仿宋_GB2312" w:hAnsi="仿宋_GB2312" w:eastAsia="仿宋_GB2312" w:cs="仿宋_GB2312"/>
                <w:sz w:val="16"/>
              </w:rPr>
            </w:pPr>
          </w:p>
          <w:p>
            <w:pPr>
              <w:pStyle w:val="7"/>
              <w:rPr>
                <w:rFonts w:hint="eastAsia" w:ascii="仿宋_GB2312" w:hAnsi="仿宋_GB2312" w:eastAsia="仿宋_GB2312" w:cs="仿宋_GB2312"/>
                <w:sz w:val="16"/>
              </w:rPr>
            </w:pPr>
          </w:p>
          <w:p>
            <w:pPr>
              <w:pStyle w:val="7"/>
              <w:rPr>
                <w:rFonts w:hint="eastAsia" w:ascii="仿宋_GB2312" w:hAnsi="仿宋_GB2312" w:eastAsia="仿宋_GB2312" w:cs="仿宋_GB2312"/>
                <w:sz w:val="16"/>
              </w:rPr>
            </w:pPr>
          </w:p>
          <w:p>
            <w:pPr>
              <w:pStyle w:val="7"/>
              <w:rPr>
                <w:rFonts w:hint="eastAsia" w:ascii="仿宋_GB2312" w:hAnsi="仿宋_GB2312" w:eastAsia="仿宋_GB2312" w:cs="仿宋_GB2312"/>
                <w:sz w:val="16"/>
              </w:rPr>
            </w:pPr>
          </w:p>
          <w:p>
            <w:pPr>
              <w:pStyle w:val="7"/>
              <w:rPr>
                <w:rFonts w:hint="eastAsia" w:ascii="仿宋_GB2312" w:hAnsi="仿宋_GB2312" w:eastAsia="仿宋_GB2312" w:cs="仿宋_GB2312"/>
                <w:sz w:val="16"/>
              </w:rPr>
            </w:pPr>
          </w:p>
          <w:p>
            <w:pPr>
              <w:pStyle w:val="7"/>
              <w:rPr>
                <w:rFonts w:hint="eastAsia" w:ascii="仿宋_GB2312" w:hAnsi="仿宋_GB2312" w:eastAsia="仿宋_GB2312" w:cs="仿宋_GB2312"/>
                <w:sz w:val="16"/>
              </w:rPr>
            </w:pPr>
          </w:p>
          <w:p>
            <w:pPr>
              <w:pStyle w:val="7"/>
              <w:spacing w:before="2"/>
              <w:rPr>
                <w:rFonts w:hint="eastAsia" w:ascii="仿宋_GB2312" w:hAnsi="仿宋_GB2312" w:eastAsia="仿宋_GB2312" w:cs="仿宋_GB2312"/>
                <w:sz w:val="22"/>
              </w:rPr>
            </w:pPr>
          </w:p>
          <w:p>
            <w:pPr>
              <w:pStyle w:val="7"/>
              <w:spacing w:line="237" w:lineRule="auto"/>
              <w:ind w:left="216" w:leftChars="103" w:right="149" w:rightChars="0" w:firstLine="0" w:firstLineChars="0"/>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1"/>
                <w:szCs w:val="21"/>
              </w:rPr>
              <w:t>《社会保险法》第八十六条：用人</w:t>
            </w:r>
            <w:r>
              <w:rPr>
                <w:rFonts w:hint="eastAsia" w:ascii="仿宋_GB2312" w:hAnsi="仿宋_GB2312" w:eastAsia="仿宋_GB2312" w:cs="仿宋_GB2312"/>
                <w:w w:val="105"/>
                <w:sz w:val="21"/>
                <w:szCs w:val="21"/>
              </w:rPr>
              <w:t>单位未按时足额缴纳社会保险费</w:t>
            </w:r>
            <w:r>
              <w:rPr>
                <w:rFonts w:hint="eastAsia" w:ascii="仿宋_GB2312" w:hAnsi="仿宋_GB2312" w:eastAsia="仿宋_GB2312" w:cs="仿宋_GB2312"/>
                <w:sz w:val="21"/>
                <w:szCs w:val="21"/>
              </w:rPr>
              <w:t>的，由社会保险费征收机构责令限</w:t>
            </w:r>
            <w:r>
              <w:rPr>
                <w:rFonts w:hint="eastAsia" w:ascii="仿宋_GB2312" w:hAnsi="仿宋_GB2312" w:eastAsia="仿宋_GB2312" w:cs="仿宋_GB2312"/>
                <w:w w:val="105"/>
                <w:sz w:val="21"/>
                <w:szCs w:val="21"/>
              </w:rPr>
              <w:t>期缴纳或者补足，并自欠缴之日</w:t>
            </w:r>
            <w:r>
              <w:rPr>
                <w:rFonts w:hint="eastAsia" w:ascii="仿宋_GB2312" w:hAnsi="仿宋_GB2312" w:eastAsia="仿宋_GB2312" w:cs="仿宋_GB2312"/>
                <w:sz w:val="21"/>
                <w:szCs w:val="21"/>
              </w:rPr>
              <w:t>起，按日加收万分之五的滞纳金； 逾期仍不缴纳的，由有关行政部门处欠缴数额一倍以上三倍以下的罚</w:t>
            </w:r>
            <w:r>
              <w:rPr>
                <w:rFonts w:hint="eastAsia" w:ascii="仿宋_GB2312" w:hAnsi="仿宋_GB2312" w:eastAsia="仿宋_GB2312" w:cs="仿宋_GB2312"/>
                <w:w w:val="105"/>
                <w:sz w:val="21"/>
                <w:szCs w:val="21"/>
              </w:rPr>
              <w:t>款。</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sectPr>
          <w:footerReference r:id="rId3" w:type="default"/>
          <w:pgSz w:w="16838" w:h="11906" w:orient="landscape"/>
          <w:pgMar w:top="1587" w:right="1440" w:bottom="1587" w:left="1440" w:header="851" w:footer="992" w:gutter="0"/>
          <w:cols w:space="425" w:num="1"/>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微软雅黑" w:hAnsi="微软雅黑" w:eastAsia="微软雅黑" w:cs="微软雅黑"/>
          <w:b/>
          <w:bCs/>
          <w:i w:val="0"/>
          <w:caps w:val="0"/>
          <w:color w:val="C00000"/>
          <w:spacing w:val="0"/>
          <w:sz w:val="24"/>
          <w:szCs w:val="24"/>
          <w:lang w:val="en-US" w:eastAsia="zh-CN"/>
        </w:rPr>
      </w:pPr>
      <w:r>
        <w:rPr>
          <w:rFonts w:hint="eastAsia" w:ascii="微软雅黑" w:hAnsi="微软雅黑" w:eastAsia="微软雅黑" w:cs="微软雅黑"/>
          <w:b/>
          <w:bCs/>
          <w:i w:val="0"/>
          <w:caps w:val="0"/>
          <w:color w:val="C00000"/>
          <w:spacing w:val="0"/>
          <w:kern w:val="0"/>
          <w:sz w:val="6"/>
          <w:szCs w:val="6"/>
          <w:u w:val="none"/>
          <w:shd w:val="clear" w:fill="FFFFFF"/>
          <w:lang w:val="en-US" w:eastAsia="zh-CN" w:bidi="ar"/>
        </w:rPr>
        <w:fldChar w:fldCharType="begin"/>
      </w:r>
      <w:r>
        <w:rPr>
          <w:rFonts w:hint="eastAsia" w:ascii="微软雅黑" w:hAnsi="微软雅黑" w:eastAsia="微软雅黑" w:cs="微软雅黑"/>
          <w:b/>
          <w:bCs/>
          <w:i w:val="0"/>
          <w:caps w:val="0"/>
          <w:color w:val="C00000"/>
          <w:spacing w:val="0"/>
          <w:kern w:val="0"/>
          <w:sz w:val="6"/>
          <w:szCs w:val="6"/>
          <w:u w:val="none"/>
          <w:shd w:val="clear" w:fill="FFFFFF"/>
          <w:lang w:val="en-US" w:eastAsia="zh-CN" w:bidi="ar"/>
        </w:rPr>
        <w:instrText xml:space="preserve"> HYPERLINK "https://www.pkulaw.com/chl/javascript:void(0);" </w:instrText>
      </w:r>
      <w:r>
        <w:rPr>
          <w:rFonts w:hint="eastAsia" w:ascii="微软雅黑" w:hAnsi="微软雅黑" w:eastAsia="微软雅黑" w:cs="微软雅黑"/>
          <w:b/>
          <w:bCs/>
          <w:i w:val="0"/>
          <w:caps w:val="0"/>
          <w:color w:val="C00000"/>
          <w:spacing w:val="0"/>
          <w:kern w:val="0"/>
          <w:sz w:val="6"/>
          <w:szCs w:val="6"/>
          <w:u w:val="none"/>
          <w:shd w:val="clear" w:fill="FFFFFF"/>
          <w:lang w:val="en-US" w:eastAsia="zh-CN" w:bidi="ar"/>
        </w:rPr>
        <w:fldChar w:fldCharType="separate"/>
      </w:r>
      <w:r>
        <w:rPr>
          <w:rFonts w:hint="eastAsia" w:ascii="微软雅黑" w:hAnsi="微软雅黑" w:eastAsia="微软雅黑" w:cs="微软雅黑"/>
          <w:b/>
          <w:bCs/>
          <w:i w:val="0"/>
          <w:caps w:val="0"/>
          <w:color w:val="C00000"/>
          <w:spacing w:val="0"/>
          <w:kern w:val="0"/>
          <w:sz w:val="6"/>
          <w:szCs w:val="6"/>
          <w:u w:val="none"/>
          <w:shd w:val="clear" w:fill="FFFFFF"/>
          <w:lang w:val="en-US" w:eastAsia="zh-CN" w:bidi="ar"/>
        </w:rPr>
        <w:fldChar w:fldCharType="end"/>
      </w:r>
    </w:p>
    <w:sectPr>
      <w:pgSz w:w="16838" w:h="11906" w:orient="landscape"/>
      <w:pgMar w:top="1247" w:right="1247" w:bottom="124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F030A"/>
    <w:rsid w:val="00763DFB"/>
    <w:rsid w:val="00952E90"/>
    <w:rsid w:val="00EE4844"/>
    <w:rsid w:val="012719FB"/>
    <w:rsid w:val="01583421"/>
    <w:rsid w:val="01FA38F8"/>
    <w:rsid w:val="023C37F0"/>
    <w:rsid w:val="028E6587"/>
    <w:rsid w:val="05F600AF"/>
    <w:rsid w:val="05FC4DAD"/>
    <w:rsid w:val="060267E3"/>
    <w:rsid w:val="07D42D7C"/>
    <w:rsid w:val="08A21358"/>
    <w:rsid w:val="092C1843"/>
    <w:rsid w:val="0A25382C"/>
    <w:rsid w:val="0AF12CCB"/>
    <w:rsid w:val="0B165CB0"/>
    <w:rsid w:val="0BC463BD"/>
    <w:rsid w:val="0BFA4B43"/>
    <w:rsid w:val="0C170C47"/>
    <w:rsid w:val="0CBE41B9"/>
    <w:rsid w:val="0D7526FE"/>
    <w:rsid w:val="0F7775E1"/>
    <w:rsid w:val="0F806F45"/>
    <w:rsid w:val="11BA4F3C"/>
    <w:rsid w:val="125A0D38"/>
    <w:rsid w:val="14762315"/>
    <w:rsid w:val="15A3798B"/>
    <w:rsid w:val="16FB6122"/>
    <w:rsid w:val="17D27D5C"/>
    <w:rsid w:val="18D763E2"/>
    <w:rsid w:val="19246D3D"/>
    <w:rsid w:val="19AC2BB5"/>
    <w:rsid w:val="1CC84B07"/>
    <w:rsid w:val="1D4B3F4A"/>
    <w:rsid w:val="1DF04023"/>
    <w:rsid w:val="1E646248"/>
    <w:rsid w:val="1EDB5060"/>
    <w:rsid w:val="206523CA"/>
    <w:rsid w:val="20801ED7"/>
    <w:rsid w:val="20C01F94"/>
    <w:rsid w:val="20FD6D65"/>
    <w:rsid w:val="24124AAD"/>
    <w:rsid w:val="24FF60DD"/>
    <w:rsid w:val="262F31A9"/>
    <w:rsid w:val="26C7524D"/>
    <w:rsid w:val="2784739F"/>
    <w:rsid w:val="27881581"/>
    <w:rsid w:val="27D809F1"/>
    <w:rsid w:val="28E04F08"/>
    <w:rsid w:val="298919D7"/>
    <w:rsid w:val="29A869F9"/>
    <w:rsid w:val="2B5A17F9"/>
    <w:rsid w:val="2C415919"/>
    <w:rsid w:val="2CEC0CDF"/>
    <w:rsid w:val="2D790785"/>
    <w:rsid w:val="2DFF7AF6"/>
    <w:rsid w:val="30E063CA"/>
    <w:rsid w:val="326E129D"/>
    <w:rsid w:val="330F54C3"/>
    <w:rsid w:val="355D770C"/>
    <w:rsid w:val="389C217F"/>
    <w:rsid w:val="392836BF"/>
    <w:rsid w:val="3A725692"/>
    <w:rsid w:val="3AB024AC"/>
    <w:rsid w:val="3ABE799C"/>
    <w:rsid w:val="3B4F5577"/>
    <w:rsid w:val="3BA47A59"/>
    <w:rsid w:val="3BE977ED"/>
    <w:rsid w:val="3D2B7039"/>
    <w:rsid w:val="3F273448"/>
    <w:rsid w:val="40921B06"/>
    <w:rsid w:val="41C338C2"/>
    <w:rsid w:val="436A12C0"/>
    <w:rsid w:val="4516427D"/>
    <w:rsid w:val="452858EF"/>
    <w:rsid w:val="461F2071"/>
    <w:rsid w:val="469E4BF6"/>
    <w:rsid w:val="47AB047C"/>
    <w:rsid w:val="48384124"/>
    <w:rsid w:val="492B41D9"/>
    <w:rsid w:val="4A20449E"/>
    <w:rsid w:val="4BCB2168"/>
    <w:rsid w:val="4CD94106"/>
    <w:rsid w:val="4E8B63E4"/>
    <w:rsid w:val="4EA6412A"/>
    <w:rsid w:val="50044A04"/>
    <w:rsid w:val="516608A2"/>
    <w:rsid w:val="51756807"/>
    <w:rsid w:val="52D95989"/>
    <w:rsid w:val="538F0864"/>
    <w:rsid w:val="55A7574F"/>
    <w:rsid w:val="55B55987"/>
    <w:rsid w:val="55E37B04"/>
    <w:rsid w:val="5A487AA0"/>
    <w:rsid w:val="5AF56175"/>
    <w:rsid w:val="5C5E6B42"/>
    <w:rsid w:val="5DA91672"/>
    <w:rsid w:val="5DCD1045"/>
    <w:rsid w:val="5E5011A1"/>
    <w:rsid w:val="5E7F030A"/>
    <w:rsid w:val="61077D6B"/>
    <w:rsid w:val="6121772B"/>
    <w:rsid w:val="638C7BF4"/>
    <w:rsid w:val="66C1188A"/>
    <w:rsid w:val="68F75E54"/>
    <w:rsid w:val="693D7131"/>
    <w:rsid w:val="693F4DC6"/>
    <w:rsid w:val="69804C43"/>
    <w:rsid w:val="6A381B93"/>
    <w:rsid w:val="6AA443AA"/>
    <w:rsid w:val="6B1435DC"/>
    <w:rsid w:val="6B6B427E"/>
    <w:rsid w:val="6C410A8E"/>
    <w:rsid w:val="6CD952A2"/>
    <w:rsid w:val="6D9C3787"/>
    <w:rsid w:val="6E656FA4"/>
    <w:rsid w:val="6E824D44"/>
    <w:rsid w:val="71F82486"/>
    <w:rsid w:val="71FE380E"/>
    <w:rsid w:val="72974EE6"/>
    <w:rsid w:val="730727FE"/>
    <w:rsid w:val="75046B4F"/>
    <w:rsid w:val="766346D0"/>
    <w:rsid w:val="76643521"/>
    <w:rsid w:val="777F0313"/>
    <w:rsid w:val="7994772B"/>
    <w:rsid w:val="7CEC6CDC"/>
    <w:rsid w:val="7D47084D"/>
    <w:rsid w:val="7D5F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2019-08-29T07:32:00Z</dcterms:created>
  <dc:creator>岁月静好现世安稳</dc:creator>
  <cp:lastModifiedBy>Administrator</cp:lastModifiedBy>
  <cp:lastPrinted>2021-08-12T02:20:00Z</cp:lastPrinted>
  <dcterms:modified xsi:type="dcterms:W3CDTF">2021-11-22T02:28:53Z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BC44D64707014532B43F00D4776ED271</vt:lpwstr>
  </property>
</Properties>
</file>