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6"/>
          <w:lang w:val="en-US" w:eastAsia="zh-CN"/>
        </w:rPr>
      </w:pPr>
      <w:bookmarkStart w:id="0" w:name="_GoBack"/>
      <w:bookmarkEnd w:id="0"/>
      <w:r>
        <w:rPr>
          <w:rFonts w:hint="eastAsia" w:ascii="宋体" w:hAnsi="宋体" w:eastAsia="宋体" w:cs="宋体"/>
          <w:b/>
          <w:bCs/>
          <w:sz w:val="36"/>
          <w:szCs w:val="36"/>
          <w:lang w:val="en-US" w:eastAsia="zh-CN"/>
        </w:rPr>
        <w:t>高平市</w:t>
      </w:r>
      <w:r>
        <w:rPr>
          <w:rFonts w:hint="eastAsia" w:ascii="宋体" w:hAnsi="宋体" w:cs="宋体"/>
          <w:b/>
          <w:bCs/>
          <w:sz w:val="36"/>
          <w:szCs w:val="36"/>
          <w:lang w:val="en-US" w:eastAsia="zh-CN"/>
        </w:rPr>
        <w:t>市委编办</w:t>
      </w:r>
      <w:r>
        <w:rPr>
          <w:rFonts w:hint="eastAsia" w:ascii="宋体" w:hAnsi="宋体" w:eastAsia="宋体" w:cs="宋体"/>
          <w:b/>
          <w:bCs/>
          <w:sz w:val="36"/>
          <w:szCs w:val="36"/>
          <w:lang w:val="en-US" w:eastAsia="zh-CN"/>
        </w:rPr>
        <w:t>权责清单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185"/>
        <w:gridCol w:w="900"/>
        <w:gridCol w:w="870"/>
        <w:gridCol w:w="870"/>
        <w:gridCol w:w="3555"/>
        <w:gridCol w:w="3315"/>
        <w:gridCol w:w="1815"/>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事项编码</w:t>
            </w:r>
          </w:p>
        </w:tc>
        <w:tc>
          <w:tcPr>
            <w:tcW w:w="20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事项名称</w:t>
            </w:r>
          </w:p>
        </w:tc>
        <w:tc>
          <w:tcPr>
            <w:tcW w:w="87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实施主体</w:t>
            </w:r>
          </w:p>
        </w:tc>
        <w:tc>
          <w:tcPr>
            <w:tcW w:w="87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事项类别</w:t>
            </w:r>
          </w:p>
        </w:tc>
        <w:tc>
          <w:tcPr>
            <w:tcW w:w="355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事项依据</w:t>
            </w:r>
          </w:p>
        </w:tc>
        <w:tc>
          <w:tcPr>
            <w:tcW w:w="331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责任事项</w:t>
            </w:r>
          </w:p>
        </w:tc>
        <w:tc>
          <w:tcPr>
            <w:tcW w:w="181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责任事项依据</w:t>
            </w:r>
          </w:p>
        </w:tc>
        <w:tc>
          <w:tcPr>
            <w:tcW w:w="56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sz w:val="28"/>
                <w:szCs w:val="28"/>
                <w:vertAlign w:val="baseline"/>
                <w:lang w:val="en-US" w:eastAsia="zh-CN"/>
              </w:rPr>
            </w:pP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大项</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子项</w:t>
            </w:r>
          </w:p>
        </w:tc>
        <w:tc>
          <w:tcPr>
            <w:tcW w:w="8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sz w:val="28"/>
                <w:szCs w:val="28"/>
                <w:vertAlign w:val="baseline"/>
                <w:lang w:val="en-US" w:eastAsia="zh-CN"/>
              </w:rPr>
            </w:pPr>
          </w:p>
        </w:tc>
        <w:tc>
          <w:tcPr>
            <w:tcW w:w="8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sz w:val="28"/>
                <w:szCs w:val="28"/>
                <w:vertAlign w:val="baseline"/>
                <w:lang w:val="en-US" w:eastAsia="zh-CN"/>
              </w:rPr>
            </w:pPr>
          </w:p>
        </w:tc>
        <w:tc>
          <w:tcPr>
            <w:tcW w:w="35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sz w:val="28"/>
                <w:szCs w:val="28"/>
                <w:vertAlign w:val="baseline"/>
                <w:lang w:val="en-US" w:eastAsia="zh-CN"/>
              </w:rPr>
            </w:pPr>
          </w:p>
        </w:tc>
        <w:tc>
          <w:tcPr>
            <w:tcW w:w="33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sz w:val="28"/>
                <w:szCs w:val="28"/>
                <w:vertAlign w:val="baseline"/>
                <w:lang w:val="en-US" w:eastAsia="zh-CN"/>
              </w:rPr>
            </w:pPr>
          </w:p>
        </w:tc>
        <w:tc>
          <w:tcPr>
            <w:tcW w:w="18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sz w:val="28"/>
                <w:szCs w:val="28"/>
                <w:vertAlign w:val="baseline"/>
                <w:lang w:val="en-US" w:eastAsia="zh-CN"/>
              </w:rPr>
            </w:pPr>
          </w:p>
        </w:tc>
        <w:tc>
          <w:tcPr>
            <w:tcW w:w="56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50" w:type="dxa"/>
            <w:noWrap w:val="0"/>
            <w:vAlign w:val="center"/>
          </w:tcPr>
          <w:p>
            <w:pPr>
              <w:rPr>
                <w:rFonts w:hint="eastAsia" w:ascii="宋体" w:hAnsi="宋体" w:eastAsia="宋体" w:cs="宋体"/>
                <w:b w:val="0"/>
                <w:bCs w:val="0"/>
                <w:sz w:val="22"/>
                <w:szCs w:val="22"/>
                <w:vertAlign w:val="baseline"/>
                <w:lang w:val="en-US" w:eastAsia="zh-CN"/>
              </w:rPr>
            </w:pPr>
          </w:p>
        </w:tc>
        <w:tc>
          <w:tcPr>
            <w:tcW w:w="1185" w:type="dxa"/>
            <w:noWrap w:val="0"/>
            <w:vAlign w:val="center"/>
          </w:tcPr>
          <w:p>
            <w:pPr>
              <w:rPr>
                <w:rFonts w:hint="eastAsia" w:ascii="宋体" w:hAnsi="宋体" w:eastAsia="宋体" w:cs="宋体"/>
                <w:b w:val="0"/>
                <w:bCs w:val="0"/>
                <w:sz w:val="22"/>
                <w:szCs w:val="22"/>
                <w:vertAlign w:val="baseline"/>
                <w:lang w:val="en-US" w:eastAsia="zh-CN"/>
              </w:rPr>
            </w:pPr>
            <w:r>
              <w:rPr>
                <w:rFonts w:hint="eastAsia" w:ascii="宋体" w:hAnsi="宋体" w:cs="宋体"/>
                <w:b w:val="0"/>
                <w:bCs w:val="0"/>
                <w:sz w:val="22"/>
                <w:szCs w:val="22"/>
                <w:vertAlign w:val="baseline"/>
                <w:lang w:val="en-US" w:eastAsia="zh-CN"/>
              </w:rPr>
              <w:t>事业单位法人登记</w:t>
            </w:r>
          </w:p>
        </w:tc>
        <w:tc>
          <w:tcPr>
            <w:tcW w:w="900" w:type="dxa"/>
            <w:noWrap w:val="0"/>
            <w:vAlign w:val="center"/>
          </w:tcPr>
          <w:p>
            <w:pPr>
              <w:rPr>
                <w:rFonts w:hint="eastAsia" w:ascii="宋体" w:hAnsi="宋体" w:eastAsia="宋体" w:cs="宋体"/>
                <w:b w:val="0"/>
                <w:bCs w:val="0"/>
                <w:sz w:val="22"/>
                <w:szCs w:val="22"/>
                <w:vertAlign w:val="baseline"/>
                <w:lang w:val="en-US" w:eastAsia="zh-CN"/>
              </w:rPr>
            </w:pPr>
          </w:p>
        </w:tc>
        <w:tc>
          <w:tcPr>
            <w:tcW w:w="870" w:type="dxa"/>
            <w:noWrap w:val="0"/>
            <w:vAlign w:val="center"/>
          </w:tcPr>
          <w:p>
            <w:pPr>
              <w:rPr>
                <w:rFonts w:hint="eastAsia" w:ascii="宋体" w:hAnsi="宋体" w:eastAsia="宋体" w:cs="宋体"/>
                <w:b w:val="0"/>
                <w:bCs w:val="0"/>
                <w:sz w:val="22"/>
                <w:szCs w:val="22"/>
                <w:vertAlign w:val="baseline"/>
                <w:lang w:val="en-US" w:eastAsia="zh-CN"/>
              </w:rPr>
            </w:pPr>
            <w:r>
              <w:rPr>
                <w:rFonts w:hint="eastAsia" w:ascii="宋体" w:hAnsi="宋体" w:cs="宋体"/>
                <w:b w:val="0"/>
                <w:bCs w:val="0"/>
                <w:sz w:val="22"/>
                <w:szCs w:val="22"/>
                <w:vertAlign w:val="baseline"/>
                <w:lang w:val="en-US" w:eastAsia="zh-CN"/>
              </w:rPr>
              <w:t>高平市市委编办</w:t>
            </w:r>
          </w:p>
        </w:tc>
        <w:tc>
          <w:tcPr>
            <w:tcW w:w="870" w:type="dxa"/>
            <w:noWrap w:val="0"/>
            <w:vAlign w:val="center"/>
          </w:tcPr>
          <w:p>
            <w:pPr>
              <w:rPr>
                <w:rFonts w:hint="eastAsia" w:ascii="宋体" w:hAnsi="宋体" w:eastAsia="宋体" w:cs="宋体"/>
                <w:b w:val="0"/>
                <w:bCs w:val="0"/>
                <w:sz w:val="22"/>
                <w:szCs w:val="22"/>
                <w:vertAlign w:val="baseline"/>
                <w:lang w:val="en-US" w:eastAsia="zh-CN"/>
              </w:rPr>
            </w:pPr>
            <w:r>
              <w:rPr>
                <w:rFonts w:hint="eastAsia" w:ascii="宋体" w:hAnsi="宋体" w:cs="宋体"/>
                <w:b w:val="0"/>
                <w:bCs w:val="0"/>
                <w:sz w:val="22"/>
                <w:szCs w:val="22"/>
                <w:vertAlign w:val="baseline"/>
                <w:lang w:val="en-US" w:eastAsia="zh-CN"/>
              </w:rPr>
              <w:t>行政许可</w:t>
            </w:r>
          </w:p>
        </w:tc>
        <w:tc>
          <w:tcPr>
            <w:tcW w:w="3555" w:type="dxa"/>
            <w:noWrap w:val="0"/>
            <w:vAlign w:val="top"/>
          </w:tcPr>
          <w:p>
            <w:pPr>
              <w:keepNext w:val="0"/>
              <w:keepLines w:val="0"/>
              <w:widowControl/>
              <w:suppressLineNumbers w:val="0"/>
              <w:adjustRightInd w:val="0"/>
              <w:spacing w:before="150" w:beforeAutospacing="0" w:after="150" w:afterAutospacing="0" w:line="450" w:lineRule="atLeast"/>
              <w:ind w:left="0" w:right="0"/>
              <w:jc w:val="center"/>
              <w:rPr>
                <w:rFonts w:hint="eastAsia" w:ascii="宋体" w:hAnsi="宋体" w:eastAsia="宋体" w:cs="宋体"/>
                <w:b/>
                <w:color w:val="333333"/>
                <w:sz w:val="24"/>
                <w:szCs w:val="24"/>
              </w:rPr>
            </w:pPr>
            <w:r>
              <w:rPr>
                <w:rFonts w:hint="eastAsia" w:ascii="宋体" w:hAnsi="宋体" w:cs="宋体"/>
                <w:b/>
                <w:color w:val="333333"/>
                <w:sz w:val="24"/>
                <w:szCs w:val="24"/>
                <w:lang w:eastAsia="zh-CN"/>
              </w:rPr>
              <w:t>【行政法规】《</w:t>
            </w:r>
            <w:r>
              <w:rPr>
                <w:rFonts w:hint="eastAsia" w:ascii="宋体" w:hAnsi="宋体" w:eastAsia="宋体" w:cs="宋体"/>
                <w:b/>
                <w:color w:val="333333"/>
                <w:sz w:val="24"/>
                <w:szCs w:val="24"/>
              </w:rPr>
              <w:t>事业单位登记管理暂行条例</w:t>
            </w:r>
            <w:r>
              <w:rPr>
                <w:rFonts w:hint="eastAsia" w:ascii="宋体" w:hAnsi="宋体" w:cs="宋体"/>
                <w:b/>
                <w:color w:val="333333"/>
                <w:sz w:val="24"/>
                <w:szCs w:val="24"/>
                <w:lang w:eastAsia="zh-CN"/>
              </w:rPr>
              <w:t>》（</w:t>
            </w:r>
            <w:r>
              <w:rPr>
                <w:rFonts w:hint="eastAsia" w:ascii="宋体" w:hAnsi="宋体" w:eastAsia="宋体" w:cs="宋体"/>
                <w:sz w:val="24"/>
                <w:szCs w:val="24"/>
                <w:lang w:val="en-US" w:eastAsia="zh-CN"/>
              </w:rPr>
              <w:t>2004年6月27日</w:t>
            </w:r>
            <w:r>
              <w:rPr>
                <w:rFonts w:hint="eastAsia" w:ascii="宋体" w:hAnsi="宋体" w:cs="宋体"/>
                <w:sz w:val="24"/>
                <w:szCs w:val="24"/>
                <w:lang w:val="en-US" w:eastAsia="zh-CN"/>
              </w:rPr>
              <w:t>中华人民共和国</w:t>
            </w:r>
            <w:r>
              <w:rPr>
                <w:rFonts w:hint="eastAsia" w:ascii="宋体" w:hAnsi="宋体" w:eastAsia="宋体" w:cs="宋体"/>
                <w:sz w:val="24"/>
                <w:szCs w:val="24"/>
                <w:lang w:val="en-US" w:eastAsia="zh-CN"/>
              </w:rPr>
              <w:t>国务院令第411号</w:t>
            </w:r>
            <w:r>
              <w:rPr>
                <w:rFonts w:hint="eastAsia" w:ascii="宋体" w:hAnsi="宋体" w:cs="宋体"/>
                <w:b/>
                <w:color w:val="333333"/>
                <w:sz w:val="24"/>
                <w:szCs w:val="24"/>
                <w:lang w:eastAsia="zh-CN"/>
              </w:rPr>
              <w:t>）</w:t>
            </w:r>
          </w:p>
          <w:p>
            <w:pPr>
              <w:rPr>
                <w:rFonts w:hint="eastAsia" w:ascii="宋体" w:hAnsi="宋体" w:eastAsia="宋体" w:cs="宋体"/>
                <w:b/>
                <w:color w:val="333333"/>
                <w:sz w:val="24"/>
                <w:szCs w:val="24"/>
                <w:lang w:val="en-US" w:eastAsia="zh-CN"/>
              </w:rPr>
            </w:pPr>
            <w:r>
              <w:rPr>
                <w:rFonts w:ascii="宋体" w:hAnsi="宋体" w:eastAsia="宋体" w:cs="宋体"/>
                <w:b/>
                <w:sz w:val="24"/>
                <w:szCs w:val="24"/>
              </w:rPr>
              <w:t>第五条</w:t>
            </w:r>
            <w:r>
              <w:rPr>
                <w:rFonts w:ascii="宋体" w:hAnsi="宋体" w:eastAsia="宋体" w:cs="宋体"/>
                <w:sz w:val="24"/>
                <w:szCs w:val="24"/>
                <w:lang w:val="en-US"/>
              </w:rPr>
              <w:t xml:space="preserve"> </w:t>
            </w:r>
            <w:r>
              <w:rPr>
                <w:rFonts w:ascii="宋体" w:hAnsi="宋体" w:eastAsia="宋体" w:cs="宋体"/>
                <w:sz w:val="24"/>
                <w:szCs w:val="24"/>
              </w:rPr>
              <w:t>县级以上各级人民政府机构编制管理机关所属的事业单位登记管理机构（以下简称登记管理机关）负责实施事业单位登记管理工作。县级以上各级人民政府机构编制管理机关应当加强对登记管理机关的事业单位登记管理工作的监督检查。</w:t>
            </w:r>
          </w:p>
        </w:tc>
        <w:tc>
          <w:tcPr>
            <w:tcW w:w="3315" w:type="dxa"/>
            <w:noWrap w:val="0"/>
            <w:vAlign w:val="top"/>
          </w:tcPr>
          <w:p>
            <w:pPr>
              <w:numPr>
                <w:ilvl w:val="0"/>
                <w:numId w:val="0"/>
              </w:numP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 xml:space="preserve">1.受理责任：公示应当提交的材料，依法受理或者不予受理（不予受理应当告知理由）。 </w:t>
            </w:r>
          </w:p>
          <w:p>
            <w:pPr>
              <w:numPr>
                <w:ilvl w:val="0"/>
                <w:numId w:val="0"/>
              </w:numPr>
              <w:ind w:leftChars="0"/>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2.</w:t>
            </w:r>
            <w:r>
              <w:rPr>
                <w:rFonts w:hint="eastAsia" w:ascii="宋体" w:hAnsi="宋体" w:cs="宋体"/>
                <w:sz w:val="22"/>
                <w:szCs w:val="22"/>
                <w:vertAlign w:val="baseline"/>
                <w:lang w:val="en-US" w:eastAsia="zh-CN"/>
              </w:rPr>
              <w:t>审核</w:t>
            </w:r>
            <w:r>
              <w:rPr>
                <w:rFonts w:hint="eastAsia" w:ascii="宋体" w:hAnsi="宋体" w:eastAsia="宋体" w:cs="宋体"/>
                <w:sz w:val="22"/>
                <w:szCs w:val="22"/>
                <w:vertAlign w:val="baseline"/>
                <w:lang w:val="en-US" w:eastAsia="zh-CN"/>
              </w:rPr>
              <w:t xml:space="preserve">责任：对申请人提交的申请材料进行审核，提出是否同意的意见。 </w:t>
            </w:r>
          </w:p>
          <w:p>
            <w:pPr>
              <w:numPr>
                <w:ilvl w:val="0"/>
                <w:numId w:val="0"/>
              </w:numPr>
              <w:ind w:leftChars="0"/>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w:t>
            </w:r>
            <w:r>
              <w:rPr>
                <w:rFonts w:hint="eastAsia" w:ascii="宋体" w:hAnsi="宋体" w:cs="宋体"/>
                <w:sz w:val="22"/>
                <w:szCs w:val="22"/>
                <w:vertAlign w:val="baseline"/>
                <w:lang w:val="en-US" w:eastAsia="zh-CN"/>
              </w:rPr>
              <w:t>核准</w:t>
            </w:r>
            <w:r>
              <w:rPr>
                <w:rFonts w:hint="eastAsia" w:ascii="宋体" w:hAnsi="宋体" w:eastAsia="宋体" w:cs="宋体"/>
                <w:sz w:val="22"/>
                <w:szCs w:val="22"/>
                <w:vertAlign w:val="baseline"/>
                <w:lang w:val="en-US" w:eastAsia="zh-CN"/>
              </w:rPr>
              <w:t>责任：准予</w:t>
            </w:r>
            <w:r>
              <w:rPr>
                <w:rFonts w:hint="eastAsia" w:ascii="宋体" w:hAnsi="宋体" w:cs="宋体"/>
                <w:sz w:val="22"/>
                <w:szCs w:val="22"/>
                <w:vertAlign w:val="baseline"/>
                <w:lang w:val="en-US" w:eastAsia="zh-CN"/>
              </w:rPr>
              <w:t>登记</w:t>
            </w:r>
            <w:r>
              <w:rPr>
                <w:rFonts w:hint="eastAsia" w:ascii="宋体" w:hAnsi="宋体" w:eastAsia="宋体" w:cs="宋体"/>
                <w:sz w:val="22"/>
                <w:szCs w:val="22"/>
                <w:vertAlign w:val="baseline"/>
                <w:lang w:val="en-US" w:eastAsia="zh-CN"/>
              </w:rPr>
              <w:t>的，及时予以</w:t>
            </w:r>
            <w:r>
              <w:rPr>
                <w:rFonts w:hint="eastAsia" w:ascii="宋体" w:hAnsi="宋体" w:cs="宋体"/>
                <w:sz w:val="22"/>
                <w:szCs w:val="22"/>
                <w:vertAlign w:val="baseline"/>
                <w:lang w:val="en-US" w:eastAsia="zh-CN"/>
              </w:rPr>
              <w:t>登记</w:t>
            </w:r>
            <w:r>
              <w:rPr>
                <w:rFonts w:hint="eastAsia" w:ascii="宋体" w:hAnsi="宋体" w:eastAsia="宋体" w:cs="宋体"/>
                <w:sz w:val="22"/>
                <w:szCs w:val="22"/>
                <w:vertAlign w:val="baseline"/>
                <w:lang w:val="en-US" w:eastAsia="zh-CN"/>
              </w:rPr>
              <w:t>，不</w:t>
            </w:r>
            <w:r>
              <w:rPr>
                <w:rFonts w:hint="eastAsia" w:ascii="宋体" w:hAnsi="宋体" w:cs="宋体"/>
                <w:sz w:val="22"/>
                <w:szCs w:val="22"/>
                <w:vertAlign w:val="baseline"/>
                <w:lang w:val="en-US" w:eastAsia="zh-CN"/>
              </w:rPr>
              <w:t>登记</w:t>
            </w:r>
            <w:r>
              <w:rPr>
                <w:rFonts w:hint="eastAsia" w:ascii="宋体" w:hAnsi="宋体" w:eastAsia="宋体" w:cs="宋体"/>
                <w:sz w:val="22"/>
                <w:szCs w:val="22"/>
                <w:vertAlign w:val="baseline"/>
                <w:lang w:val="en-US" w:eastAsia="zh-CN"/>
              </w:rPr>
              <w:t xml:space="preserve">的应当书面告知。 </w:t>
            </w:r>
          </w:p>
          <w:p>
            <w:pPr>
              <w:numPr>
                <w:ilvl w:val="0"/>
                <w:numId w:val="0"/>
              </w:numPr>
              <w:ind w:leftChars="0"/>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4.送达责任：准予</w:t>
            </w:r>
            <w:r>
              <w:rPr>
                <w:rFonts w:hint="eastAsia" w:ascii="宋体" w:hAnsi="宋体" w:cs="宋体"/>
                <w:sz w:val="22"/>
                <w:szCs w:val="22"/>
                <w:vertAlign w:val="baseline"/>
                <w:lang w:val="en-US" w:eastAsia="zh-CN"/>
              </w:rPr>
              <w:t>登记</w:t>
            </w:r>
            <w:r>
              <w:rPr>
                <w:rFonts w:hint="eastAsia" w:ascii="宋体" w:hAnsi="宋体" w:eastAsia="宋体" w:cs="宋体"/>
                <w:sz w:val="22"/>
                <w:szCs w:val="22"/>
                <w:vertAlign w:val="baseline"/>
                <w:lang w:val="en-US" w:eastAsia="zh-CN"/>
              </w:rPr>
              <w:t>的向申请人发放核准</w:t>
            </w:r>
            <w:r>
              <w:rPr>
                <w:rFonts w:hint="eastAsia" w:ascii="宋体" w:hAnsi="宋体" w:cs="宋体"/>
                <w:sz w:val="22"/>
                <w:szCs w:val="22"/>
                <w:vertAlign w:val="baseline"/>
                <w:lang w:val="en-US" w:eastAsia="zh-CN"/>
              </w:rPr>
              <w:t>登记证书</w:t>
            </w:r>
            <w:r>
              <w:rPr>
                <w:rFonts w:hint="eastAsia" w:ascii="宋体" w:hAnsi="宋体" w:eastAsia="宋体" w:cs="宋体"/>
                <w:sz w:val="22"/>
                <w:szCs w:val="22"/>
                <w:vertAlign w:val="baseline"/>
                <w:lang w:val="en-US" w:eastAsia="zh-CN"/>
              </w:rPr>
              <w:t xml:space="preserve">。 </w:t>
            </w:r>
          </w:p>
          <w:p>
            <w:pPr>
              <w:numPr>
                <w:ilvl w:val="0"/>
                <w:numId w:val="0"/>
              </w:numPr>
              <w:ind w:leftChars="0"/>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 xml:space="preserve">5.事后监管责任：建立实施监督检 查的运行机制和管理机制，开展定期和不定期检查，依法采取相关处置措施。 </w:t>
            </w:r>
          </w:p>
          <w:p>
            <w:pPr>
              <w:numPr>
                <w:ilvl w:val="0"/>
                <w:numId w:val="0"/>
              </w:numPr>
              <w:ind w:leftChars="0"/>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6.其他：法律法规规章规定应当履行的责任。</w:t>
            </w:r>
          </w:p>
        </w:tc>
        <w:tc>
          <w:tcPr>
            <w:tcW w:w="1815" w:type="dxa"/>
            <w:noWrap w:val="0"/>
            <w:vAlign w:val="top"/>
          </w:tcPr>
          <w:p>
            <w:pP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1.参照《行政许可法》第三十条</w:t>
            </w:r>
            <w:r>
              <w:rPr>
                <w:rFonts w:hint="eastAsia" w:ascii="宋体" w:hAnsi="宋体" w:cs="宋体"/>
                <w:sz w:val="22"/>
                <w:szCs w:val="22"/>
                <w:vertAlign w:val="baseline"/>
                <w:lang w:val="en-US" w:eastAsia="zh-CN"/>
              </w:rPr>
              <w:t>、第三十二条</w:t>
            </w:r>
            <w:r>
              <w:rPr>
                <w:rFonts w:hint="eastAsia" w:ascii="宋体" w:hAnsi="宋体" w:eastAsia="宋体" w:cs="宋体"/>
                <w:sz w:val="22"/>
                <w:szCs w:val="22"/>
                <w:vertAlign w:val="baseline"/>
                <w:lang w:val="en-US" w:eastAsia="zh-CN"/>
              </w:rPr>
              <w:t xml:space="preserve"> </w:t>
            </w:r>
          </w:p>
          <w:p>
            <w:pP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 xml:space="preserve">2.参照《行政许可法》第三十四条 3.参照《行政许可法》第三十七条 第三十八条 </w:t>
            </w:r>
          </w:p>
          <w:p>
            <w:pP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 xml:space="preserve">4.参照《行政许可法》第三十九条 第四十四条 </w:t>
            </w:r>
          </w:p>
          <w:p>
            <w:pP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5.参照《行政许可法》第六十条～第七十</w:t>
            </w:r>
            <w:r>
              <w:rPr>
                <w:rFonts w:hint="eastAsia" w:ascii="宋体" w:hAnsi="宋体" w:cs="宋体"/>
                <w:sz w:val="22"/>
                <w:szCs w:val="22"/>
                <w:vertAlign w:val="baseline"/>
                <w:lang w:val="en-US" w:eastAsia="zh-CN"/>
              </w:rPr>
              <w:t>条</w:t>
            </w:r>
          </w:p>
        </w:tc>
        <w:tc>
          <w:tcPr>
            <w:tcW w:w="568" w:type="dxa"/>
            <w:noWrap w:val="0"/>
            <w:vAlign w:val="top"/>
          </w:tcPr>
          <w:p>
            <w:pPr>
              <w:rPr>
                <w:rFonts w:hint="eastAsia" w:ascii="宋体" w:hAnsi="宋体" w:eastAsia="宋体" w:cs="宋体"/>
                <w:sz w:val="28"/>
                <w:szCs w:val="28"/>
                <w:vertAlign w:val="baseline"/>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C07E3"/>
    <w:rsid w:val="13847980"/>
    <w:rsid w:val="1A084074"/>
    <w:rsid w:val="47D72CF7"/>
    <w:rsid w:val="4B453312"/>
    <w:rsid w:val="5FC50A13"/>
    <w:rsid w:val="79E34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FollowedHyperlink"/>
    <w:basedOn w:val="5"/>
    <w:qFormat/>
    <w:uiPriority w:val="0"/>
    <w:rPr>
      <w:color w:val="800080"/>
      <w:u w:val="none"/>
    </w:rPr>
  </w:style>
  <w:style w:type="character" w:styleId="8">
    <w:name w:val="HTML Definition"/>
    <w:basedOn w:val="5"/>
    <w:qFormat/>
    <w:uiPriority w:val="0"/>
    <w:rPr>
      <w:i/>
    </w:rPr>
  </w:style>
  <w:style w:type="character" w:styleId="9">
    <w:name w:val="Hyperlink"/>
    <w:basedOn w:val="5"/>
    <w:qFormat/>
    <w:uiPriority w:val="0"/>
    <w:rPr>
      <w:color w:val="0000FF"/>
      <w:u w:val="none"/>
    </w:rPr>
  </w:style>
  <w:style w:type="character" w:styleId="10">
    <w:name w:val="HTML Code"/>
    <w:basedOn w:val="5"/>
    <w:qFormat/>
    <w:uiPriority w:val="0"/>
    <w:rPr>
      <w:rFonts w:hint="default" w:ascii="monospace" w:hAnsi="monospace" w:eastAsia="monospace" w:cs="monospace"/>
      <w:sz w:val="21"/>
      <w:szCs w:val="21"/>
    </w:rPr>
  </w:style>
  <w:style w:type="character" w:styleId="11">
    <w:name w:val="HTML Keyboard"/>
    <w:basedOn w:val="5"/>
    <w:qFormat/>
    <w:uiPriority w:val="0"/>
    <w:rPr>
      <w:rFonts w:hint="default" w:ascii="monospace" w:hAnsi="monospace" w:eastAsia="monospace" w:cs="monospace"/>
      <w:sz w:val="21"/>
      <w:szCs w:val="21"/>
    </w:rPr>
  </w:style>
  <w:style w:type="character" w:styleId="12">
    <w:name w:val="HTML Sample"/>
    <w:basedOn w:val="5"/>
    <w:qFormat/>
    <w:uiPriority w:val="0"/>
    <w:rPr>
      <w:rFonts w:ascii="monospace" w:hAnsi="monospace" w:eastAsia="monospace" w:cs="monospace"/>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2021-11-17T02:09:45Z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0D87DF8B4DCB4ACD8807B3CD7166CC45</vt:lpwstr>
  </property>
</Properties>
</file>